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8E" w:rsidRDefault="008708C0">
      <w:pPr>
        <w:jc w:val="distribute"/>
        <w:rPr>
          <w:rFonts w:ascii="方正小标宋简体" w:eastAsia="方正小标宋简体" w:cs="方正小标宋简体"/>
          <w:color w:val="FF0000"/>
          <w:spacing w:val="-20"/>
          <w:w w:val="66"/>
          <w:sz w:val="120"/>
          <w:szCs w:val="90"/>
        </w:rPr>
      </w:pPr>
      <w:r>
        <w:rPr>
          <w:rFonts w:ascii="方正小标宋简体" w:eastAsia="方正小标宋简体" w:cs="方正小标宋简体" w:hint="eastAsia"/>
          <w:color w:val="FF0000"/>
          <w:spacing w:val="-20"/>
          <w:w w:val="66"/>
          <w:sz w:val="120"/>
          <w:szCs w:val="90"/>
        </w:rPr>
        <w:t>吉水县人民法院</w:t>
      </w:r>
    </w:p>
    <w:p w:rsidR="0083368E" w:rsidRDefault="008708C0">
      <w:pPr>
        <w:rPr>
          <w:rFonts w:ascii="方正小标宋简体" w:eastAsia="方正小标宋简体"/>
          <w:color w:val="FF0000"/>
          <w:spacing w:val="-20"/>
          <w:w w:val="66"/>
          <w:sz w:val="120"/>
          <w:szCs w:val="90"/>
        </w:rPr>
      </w:pPr>
      <w:r>
        <w:rPr>
          <w:rFonts w:ascii="方正小标宋简体" w:eastAsia="方正小标宋简体"/>
          <w:noProof/>
          <w:color w:val="FF0000"/>
          <w:spacing w:val="-20"/>
          <w:sz w:val="120"/>
          <w:szCs w:val="90"/>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240030</wp:posOffset>
                </wp:positionV>
                <wp:extent cx="5579745" cy="1905"/>
                <wp:effectExtent l="0" t="19050" r="1905" b="3619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9745" cy="1905"/>
                        </a:xfrm>
                        <a:prstGeom prst="line">
                          <a:avLst/>
                        </a:prstGeom>
                        <a:noFill/>
                        <a:ln w="28575">
                          <a:solidFill>
                            <a:srgbClr val="FF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0.15pt;margin-top:18.9pt;height:0.15pt;width:439.35pt;z-index:251659264;mso-width-relative:page;mso-height-relative:page;" filled="f" stroked="t" coordsize="21600,21600" o:gfxdata="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jcv2bZAAAABwEAAA8AAAAAAAAAAQAgAAAAIgAAAGRycy9kb3ducmV2LnhtbFBLAQIU&#10;ABQAAAAIAIdO4kBNzoXY8gEAALgDAAAOAAAAAAAAAAEAIAAAACgBAABkcnMvZTJvRG9jLnhtbFBL&#10;BQYAAAAABgAGAFkBAACMBQAAAAA=&#10;">
                <v:fill on="f" focussize="0,0"/>
                <v:stroke weight="2.25pt" color="#FF0000" joinstyle="round"/>
                <v:imagedata o:title=""/>
                <o:lock v:ext="edit" aspectratio="f"/>
              </v:line>
            </w:pict>
          </mc:Fallback>
        </mc:AlternateContent>
      </w:r>
    </w:p>
    <w:p w:rsidR="0083368E" w:rsidRDefault="008708C0">
      <w:pPr>
        <w:ind w:firstLineChars="300" w:firstLine="1320"/>
        <w:rPr>
          <w:rFonts w:ascii="方正小标宋简体" w:eastAsia="方正小标宋简体" w:hAnsiTheme="majorEastAsia"/>
          <w:sz w:val="44"/>
          <w:szCs w:val="44"/>
        </w:rPr>
      </w:pPr>
      <w:r>
        <w:rPr>
          <w:rFonts w:ascii="方正小标宋简体" w:eastAsia="方正小标宋简体" w:hAnsiTheme="majorEastAsia" w:hint="eastAsia"/>
          <w:sz w:val="44"/>
          <w:szCs w:val="44"/>
        </w:rPr>
        <w:t>关于破产程序中财产网络拍卖的</w:t>
      </w:r>
    </w:p>
    <w:p w:rsidR="0083368E" w:rsidRDefault="003E2BC2">
      <w:pPr>
        <w:ind w:firstLineChars="100" w:firstLine="440"/>
        <w:jc w:val="center"/>
        <w:rPr>
          <w:rFonts w:ascii="方正小标宋简体" w:eastAsia="方正小标宋简体" w:hAnsiTheme="majorEastAsia"/>
          <w:sz w:val="44"/>
          <w:szCs w:val="44"/>
        </w:rPr>
      </w:pPr>
      <w:r>
        <w:rPr>
          <w:rFonts w:ascii="方正小标宋简体" w:eastAsia="方正小标宋简体" w:hAnsiTheme="majorEastAsia" w:hint="eastAsia"/>
          <w:sz w:val="44"/>
          <w:szCs w:val="44"/>
        </w:rPr>
        <w:t>实施办法</w:t>
      </w:r>
    </w:p>
    <w:p w:rsidR="0083368E" w:rsidRDefault="008708C0">
      <w:pPr>
        <w:ind w:firstLineChars="200" w:firstLine="600"/>
        <w:rPr>
          <w:rFonts w:ascii="仿宋" w:eastAsia="仿宋" w:hAnsi="仿宋"/>
          <w:sz w:val="30"/>
          <w:szCs w:val="30"/>
        </w:rPr>
      </w:pPr>
      <w:r>
        <w:rPr>
          <w:rFonts w:ascii="仿宋" w:eastAsia="仿宋" w:hAnsi="仿宋" w:hint="eastAsia"/>
          <w:sz w:val="30"/>
          <w:szCs w:val="30"/>
        </w:rPr>
        <w:t>为规范破产程序中管理人对债务人财产的处置行为，提高处置效率，实现债务人财产价值最大化，维护当事人的合法权益，根据《中华人民共和国企业破产法》、</w:t>
      </w:r>
      <w:r>
        <w:rPr>
          <w:rFonts w:ascii="仿宋" w:eastAsia="仿宋" w:hAnsi="仿宋" w:hint="eastAsia"/>
          <w:sz w:val="30"/>
          <w:szCs w:val="30"/>
        </w:rPr>
        <w:t>《最高人民法院关于适用若干问题的规定（三）》、</w:t>
      </w:r>
      <w:r>
        <w:rPr>
          <w:rFonts w:ascii="仿宋" w:eastAsia="仿宋" w:hAnsi="仿宋" w:hint="eastAsia"/>
          <w:sz w:val="30"/>
          <w:szCs w:val="30"/>
        </w:rPr>
        <w:t>《全国法院破产审判工作会议纪要》等相关规定，结合我市破产审判工作实际，制定本办法。</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第一条</w:t>
      </w:r>
      <w:r>
        <w:rPr>
          <w:rFonts w:ascii="宋体" w:eastAsia="宋体" w:hAnsi="宋体" w:cs="宋体" w:hint="eastAsia"/>
          <w:sz w:val="30"/>
          <w:szCs w:val="30"/>
        </w:rPr>
        <w:t>  </w:t>
      </w:r>
      <w:r>
        <w:rPr>
          <w:rFonts w:ascii="仿宋" w:eastAsia="仿宋" w:hAnsi="仿宋" w:hint="eastAsia"/>
          <w:sz w:val="30"/>
          <w:szCs w:val="30"/>
        </w:rPr>
        <w:t>管理人依法通过互联网拍卖平台，以网络电子竞价方式公开处置债务人财产的，适用本办法。</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债务人财产指破产申请受理时属于债务人的全部财产，以及破产申请受理后至破产程序终结前债务人取得的财产。</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第二条</w:t>
      </w:r>
      <w:r>
        <w:rPr>
          <w:rFonts w:ascii="宋体" w:eastAsia="宋体" w:hAnsi="宋体" w:cs="宋体" w:hint="eastAsia"/>
          <w:sz w:val="30"/>
          <w:szCs w:val="30"/>
        </w:rPr>
        <w:t>  </w:t>
      </w:r>
      <w:r>
        <w:rPr>
          <w:rFonts w:ascii="仿宋" w:eastAsia="仿宋" w:hAnsi="仿宋" w:hint="eastAsia"/>
          <w:sz w:val="30"/>
          <w:szCs w:val="30"/>
        </w:rPr>
        <w:t>债务人财产处置，应当采用网络拍卖方式。债权人会议决议通过其他方式处置，法律、行政法规规定必须通过其他途径处置，以及债务人财产不适宜通过网络拍卖处置的除外。</w:t>
      </w:r>
    </w:p>
    <w:p w:rsidR="0083368E" w:rsidRDefault="008708C0">
      <w:pPr>
        <w:rPr>
          <w:rFonts w:ascii="仿宋" w:eastAsia="仿宋" w:hAnsi="仿宋"/>
          <w:sz w:val="30"/>
          <w:szCs w:val="30"/>
        </w:rPr>
      </w:pPr>
      <w:r>
        <w:rPr>
          <w:rFonts w:ascii="仿宋" w:eastAsia="仿宋" w:hAnsi="仿宋" w:hint="eastAsia"/>
          <w:sz w:val="30"/>
          <w:szCs w:val="30"/>
        </w:rPr>
        <w:lastRenderedPageBreak/>
        <w:t>  </w:t>
      </w:r>
      <w:r>
        <w:rPr>
          <w:rFonts w:ascii="仿宋" w:eastAsia="仿宋" w:hAnsi="仿宋" w:hint="eastAsia"/>
          <w:sz w:val="30"/>
          <w:szCs w:val="30"/>
        </w:rPr>
        <w:t xml:space="preserve">  </w:t>
      </w:r>
      <w:r>
        <w:rPr>
          <w:rFonts w:ascii="仿宋" w:eastAsia="仿宋" w:hAnsi="仿宋" w:hint="eastAsia"/>
          <w:sz w:val="30"/>
          <w:szCs w:val="30"/>
        </w:rPr>
        <w:t>第三条</w:t>
      </w:r>
      <w:r>
        <w:rPr>
          <w:rFonts w:ascii="宋体" w:eastAsia="宋体" w:hAnsi="宋体" w:cs="宋体" w:hint="eastAsia"/>
          <w:sz w:val="30"/>
          <w:szCs w:val="30"/>
        </w:rPr>
        <w:t>  </w:t>
      </w:r>
      <w:r>
        <w:rPr>
          <w:rFonts w:ascii="仿宋" w:eastAsia="仿宋" w:hAnsi="仿宋" w:hint="eastAsia"/>
          <w:sz w:val="30"/>
          <w:szCs w:val="30"/>
        </w:rPr>
        <w:t>网络拍卖以债务人财产价值最大化为原则。管理人应当积极、灵活采取适当措施，提高债务人财产的变现价值。</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管理人可以根据财产的性质、状态、是否为重整所必需等，采取整体营业转让、多项财产打包处置、分别处置、增值后处置等适当方式，提升债务人的财产和营运价值。</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第四条</w:t>
      </w:r>
      <w:r>
        <w:rPr>
          <w:rFonts w:ascii="宋体" w:eastAsia="宋体" w:hAnsi="宋体" w:cs="宋体" w:hint="eastAsia"/>
          <w:sz w:val="30"/>
          <w:szCs w:val="30"/>
        </w:rPr>
        <w:t>  </w:t>
      </w:r>
      <w:r>
        <w:rPr>
          <w:rFonts w:ascii="仿宋" w:eastAsia="仿宋" w:hAnsi="仿宋" w:hint="eastAsia"/>
          <w:sz w:val="30"/>
          <w:szCs w:val="30"/>
        </w:rPr>
        <w:t>网络拍卖应坚持效率原则，管理人应根据财产实际状况，及时启动网络拍卖程序，防止财产贬值、受损或破产费用不当增加。</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第五条</w:t>
      </w:r>
      <w:r>
        <w:rPr>
          <w:rFonts w:ascii="宋体" w:eastAsia="宋体" w:hAnsi="宋体" w:cs="宋体" w:hint="eastAsia"/>
          <w:sz w:val="30"/>
          <w:szCs w:val="30"/>
        </w:rPr>
        <w:t>  </w:t>
      </w:r>
      <w:r>
        <w:rPr>
          <w:rFonts w:ascii="仿宋" w:eastAsia="仿宋" w:hAnsi="仿宋" w:hint="eastAsia"/>
          <w:sz w:val="30"/>
          <w:szCs w:val="30"/>
        </w:rPr>
        <w:t>债务人财产具有营运价值的部分，管理人应当优先采用整体出售方式，保留和提升经营价值，避免因零散出售造成减值。</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第六条</w:t>
      </w:r>
      <w:r>
        <w:rPr>
          <w:rFonts w:ascii="宋体" w:eastAsia="宋体" w:hAnsi="宋体" w:cs="宋体" w:hint="eastAsia"/>
          <w:sz w:val="30"/>
          <w:szCs w:val="30"/>
        </w:rPr>
        <w:t>  </w:t>
      </w:r>
      <w:r>
        <w:rPr>
          <w:rFonts w:ascii="仿宋" w:eastAsia="仿宋" w:hAnsi="仿宋" w:hint="eastAsia"/>
          <w:sz w:val="30"/>
          <w:szCs w:val="30"/>
        </w:rPr>
        <w:t>管理人作为拍卖实施主体，应以自己的名义依法通过网络拍卖平台处置债务人财产，接受债权人会议</w:t>
      </w:r>
      <w:r>
        <w:rPr>
          <w:rFonts w:ascii="仿宋" w:eastAsia="仿宋" w:hAnsi="仿宋" w:hint="eastAsia"/>
          <w:sz w:val="30"/>
          <w:szCs w:val="30"/>
        </w:rPr>
        <w:t>、债权人委员会和人民法院的监督。</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债权人委员会认为管理人实施的处分行为不符合债权人会议通过的财产管理或变价方案的，有权要求管理人纠正。管理人拒绝纠正的，债权人委员会可以请求人民法院</w:t>
      </w:r>
      <w:proofErr w:type="gramStart"/>
      <w:r>
        <w:rPr>
          <w:rFonts w:ascii="仿宋" w:eastAsia="仿宋" w:hAnsi="仿宋" w:hint="eastAsia"/>
          <w:sz w:val="30"/>
          <w:szCs w:val="30"/>
        </w:rPr>
        <w:t>作出</w:t>
      </w:r>
      <w:proofErr w:type="gramEnd"/>
      <w:r>
        <w:rPr>
          <w:rFonts w:ascii="仿宋" w:eastAsia="仿宋" w:hAnsi="仿宋" w:hint="eastAsia"/>
          <w:sz w:val="30"/>
          <w:szCs w:val="30"/>
        </w:rPr>
        <w:t>决定。</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第七条</w:t>
      </w:r>
      <w:r>
        <w:rPr>
          <w:rFonts w:ascii="宋体" w:eastAsia="宋体" w:hAnsi="宋体" w:cs="宋体" w:hint="eastAsia"/>
          <w:sz w:val="30"/>
          <w:szCs w:val="30"/>
        </w:rPr>
        <w:t>  </w:t>
      </w:r>
      <w:r>
        <w:rPr>
          <w:rFonts w:ascii="仿宋" w:eastAsia="仿宋" w:hAnsi="仿宋" w:hint="eastAsia"/>
          <w:sz w:val="30"/>
          <w:szCs w:val="30"/>
        </w:rPr>
        <w:t>网络拍卖平台应从最高人民法院确定的司法拍卖网络服务提供者名单库中选择。</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第八条</w:t>
      </w:r>
      <w:r>
        <w:rPr>
          <w:rFonts w:ascii="宋体" w:eastAsia="宋体" w:hAnsi="宋体" w:cs="宋体" w:hint="eastAsia"/>
          <w:sz w:val="30"/>
          <w:szCs w:val="30"/>
        </w:rPr>
        <w:t>  </w:t>
      </w:r>
      <w:r>
        <w:rPr>
          <w:rFonts w:ascii="仿宋" w:eastAsia="仿宋" w:hAnsi="仿宋" w:hint="eastAsia"/>
          <w:sz w:val="30"/>
          <w:szCs w:val="30"/>
        </w:rPr>
        <w:t>网络拍卖方案，由管理人在财产变价方案中提出并提交债权人会议讨论、表决。管理人根据企业破产法第二十六条，在第一次债权人会议召开之前处置财产的，应当向人民法</w:t>
      </w:r>
      <w:r>
        <w:rPr>
          <w:rFonts w:ascii="仿宋" w:eastAsia="仿宋" w:hAnsi="仿宋" w:hint="eastAsia"/>
          <w:sz w:val="30"/>
          <w:szCs w:val="30"/>
        </w:rPr>
        <w:lastRenderedPageBreak/>
        <w:t>院提交网络拍卖方案，经人民法院许可。</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网络拍</w:t>
      </w:r>
      <w:r>
        <w:rPr>
          <w:rFonts w:ascii="仿宋" w:eastAsia="仿宋" w:hAnsi="仿宋" w:hint="eastAsia"/>
          <w:sz w:val="30"/>
          <w:szCs w:val="30"/>
        </w:rPr>
        <w:t>卖方案一般应当包括以下内容∶</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（一）拟通过网络拍卖处置的债务人财产的范围、状况；</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（二）拟选择的网络拍卖平台；</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（三）拟拍卖时间、起拍价或其确定方式、保证金的数额或比例、保证金和拍卖款项的支付方式及支付期限；</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（四）公告期、竞价时间、出价递增幅度、拍卖次数、每次拍卖的降价幅度及流拍后的处理方式；</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（五）其他需要由债权人会议决议的事项。</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管理人应就所拍卖债务人财产可能产生的费用和可能的税费负担情况向债权人会议予以说明。</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第九条</w:t>
      </w:r>
      <w:r>
        <w:rPr>
          <w:rFonts w:ascii="宋体" w:eastAsia="宋体" w:hAnsi="宋体" w:cs="宋体" w:hint="eastAsia"/>
          <w:sz w:val="30"/>
          <w:szCs w:val="30"/>
        </w:rPr>
        <w:t>  </w:t>
      </w:r>
      <w:r>
        <w:rPr>
          <w:rFonts w:ascii="仿宋" w:eastAsia="仿宋" w:hAnsi="仿宋" w:hint="eastAsia"/>
          <w:sz w:val="30"/>
          <w:szCs w:val="30"/>
        </w:rPr>
        <w:t>对债务人特定财产享有担保</w:t>
      </w:r>
      <w:r>
        <w:rPr>
          <w:rFonts w:ascii="仿宋" w:eastAsia="仿宋" w:hAnsi="仿宋" w:hint="eastAsia"/>
          <w:sz w:val="30"/>
          <w:szCs w:val="30"/>
        </w:rPr>
        <w:t>权的债权人向管理人申请就该特定财产变价处置并行使优先受偿权的，管理人应及时进行审查，若债务人没有重整可能或担保财产并非重整所必需、担保财产处置不损害债务人财产的整体价值的，管理人应及时启动拍卖，不得以需经债权人表决等事由予以拒绝或拖延。</w:t>
      </w:r>
      <w:r>
        <w:rPr>
          <w:rFonts w:ascii="宋体" w:eastAsia="宋体" w:hAnsi="宋体" w:cs="宋体" w:hint="eastAsia"/>
          <w:sz w:val="30"/>
          <w:szCs w:val="30"/>
        </w:rPr>
        <w:t> </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第十条</w:t>
      </w:r>
      <w:r>
        <w:rPr>
          <w:rFonts w:ascii="宋体" w:eastAsia="宋体" w:hAnsi="宋体" w:cs="宋体" w:hint="eastAsia"/>
          <w:sz w:val="30"/>
          <w:szCs w:val="30"/>
        </w:rPr>
        <w:t>  </w:t>
      </w:r>
      <w:r>
        <w:rPr>
          <w:rFonts w:ascii="仿宋" w:eastAsia="仿宋" w:hAnsi="仿宋" w:hint="eastAsia"/>
          <w:sz w:val="30"/>
          <w:szCs w:val="30"/>
        </w:rPr>
        <w:t>实施债务人财产网络拍卖的，管理人应当履行下列职责∶</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（一）查明拍卖财产的种类、性质、数量、权属、权利负担、质量瑕疵、欠缴税费、占有使用等现状并予以说明；</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（二）制作、发布拍卖公告等信息，在选择的网络拍卖平台上独立发拍；</w:t>
      </w:r>
    </w:p>
    <w:p w:rsidR="0083368E" w:rsidRDefault="008708C0">
      <w:pPr>
        <w:rPr>
          <w:rFonts w:ascii="仿宋" w:eastAsia="仿宋" w:hAnsi="仿宋"/>
          <w:sz w:val="30"/>
          <w:szCs w:val="30"/>
        </w:rPr>
      </w:pPr>
      <w:r>
        <w:rPr>
          <w:rFonts w:ascii="仿宋" w:eastAsia="仿宋" w:hAnsi="仿宋" w:hint="eastAsia"/>
          <w:sz w:val="30"/>
          <w:szCs w:val="30"/>
        </w:rPr>
        <w:lastRenderedPageBreak/>
        <w:t>  </w:t>
      </w:r>
      <w:r>
        <w:rPr>
          <w:rFonts w:ascii="仿宋" w:eastAsia="仿宋" w:hAnsi="仿宋" w:hint="eastAsia"/>
          <w:sz w:val="30"/>
          <w:szCs w:val="30"/>
        </w:rPr>
        <w:t xml:space="preserve"> </w:t>
      </w:r>
      <w:r>
        <w:rPr>
          <w:rFonts w:ascii="仿宋" w:eastAsia="仿宋" w:hAnsi="仿宋" w:hint="eastAsia"/>
          <w:sz w:val="30"/>
          <w:szCs w:val="30"/>
        </w:rPr>
        <w:t>（三）按照公司法等法律、行政法规的规定提前通知已知优先购买权人，并在网络拍卖公告发布三日前通知其网络拍卖事项；</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（四）办理财产交付和协助办理财产权属转移手续；</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（五）其他依法应当由管理人履行的职责。</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 xml:space="preserve"> </w:t>
      </w:r>
      <w:r>
        <w:rPr>
          <w:rFonts w:ascii="仿宋" w:eastAsia="仿宋" w:hAnsi="仿宋" w:hint="eastAsia"/>
          <w:sz w:val="30"/>
          <w:szCs w:val="30"/>
        </w:rPr>
        <w:t>第十一条</w:t>
      </w:r>
      <w:r>
        <w:rPr>
          <w:rFonts w:ascii="宋体" w:eastAsia="宋体" w:hAnsi="宋体" w:cs="宋体" w:hint="eastAsia"/>
          <w:sz w:val="30"/>
          <w:szCs w:val="30"/>
        </w:rPr>
        <w:t>  </w:t>
      </w:r>
      <w:r>
        <w:rPr>
          <w:rFonts w:ascii="仿宋" w:eastAsia="仿宋" w:hAnsi="仿宋" w:hint="eastAsia"/>
          <w:sz w:val="30"/>
          <w:szCs w:val="30"/>
        </w:rPr>
        <w:t>管理人实施网络拍卖应当先期公告。首次拍卖的公告期不少于十五日，流拍后再次拍卖的公告期不少于七日。公告应在选择的网络拍卖平台上发布，并可以根据案件需要在其他媒体发布。</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拍卖公告应当包括拍卖财产、起拍价、保证金、竞买人条件、拍卖财产已知瑕疵、相关权利义务、法律责任、拍卖时间、</w:t>
      </w:r>
      <w:r>
        <w:rPr>
          <w:rFonts w:ascii="仿宋" w:eastAsia="仿宋" w:hAnsi="仿宋" w:hint="eastAsia"/>
          <w:sz w:val="30"/>
          <w:szCs w:val="30"/>
        </w:rPr>
        <w:t>网络平台、破产案件审理法院、管理人名称及联系方式等信息。</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第十二条</w:t>
      </w:r>
      <w:r>
        <w:rPr>
          <w:rFonts w:ascii="宋体" w:eastAsia="宋体" w:hAnsi="宋体" w:cs="宋体" w:hint="eastAsia"/>
          <w:sz w:val="30"/>
          <w:szCs w:val="30"/>
        </w:rPr>
        <w:t>  </w:t>
      </w:r>
      <w:r>
        <w:rPr>
          <w:rFonts w:ascii="仿宋" w:eastAsia="仿宋" w:hAnsi="仿宋" w:hint="eastAsia"/>
          <w:sz w:val="30"/>
          <w:szCs w:val="30"/>
        </w:rPr>
        <w:t>管理人应当在拍卖公告发布当日通过选择的网络拍卖平台公示下列信息：</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（一）拍卖公告；</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（二）拍卖财产现状的文字说明、照片或视频等；</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（三）拍卖时间、起拍价及竞价规则；</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（四）拍卖保证金、拍卖款项支付方式和账户；</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（五）优先购买权主体以及权利性质；</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（六）通知或无法通知已知优先购买权人的情况；</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（七）财产交付方式、财产所有权转移手续以及税费负担；</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（八）风险提示及其他应当</w:t>
      </w:r>
      <w:r>
        <w:rPr>
          <w:rFonts w:ascii="仿宋" w:eastAsia="仿宋" w:hAnsi="仿宋" w:hint="eastAsia"/>
          <w:sz w:val="30"/>
          <w:szCs w:val="30"/>
        </w:rPr>
        <w:t>公示和说明的事项。</w:t>
      </w:r>
    </w:p>
    <w:p w:rsidR="0083368E" w:rsidRDefault="008708C0">
      <w:pPr>
        <w:rPr>
          <w:rFonts w:ascii="仿宋" w:eastAsia="仿宋" w:hAnsi="仿宋"/>
          <w:sz w:val="30"/>
          <w:szCs w:val="30"/>
        </w:rPr>
      </w:pPr>
      <w:r>
        <w:rPr>
          <w:rFonts w:ascii="仿宋" w:eastAsia="仿宋" w:hAnsi="仿宋" w:hint="eastAsia"/>
          <w:sz w:val="30"/>
          <w:szCs w:val="30"/>
        </w:rPr>
        <w:lastRenderedPageBreak/>
        <w:t>  </w:t>
      </w:r>
      <w:r>
        <w:rPr>
          <w:rFonts w:ascii="仿宋" w:eastAsia="仿宋" w:hAnsi="仿宋" w:hint="eastAsia"/>
          <w:sz w:val="30"/>
          <w:szCs w:val="30"/>
        </w:rPr>
        <w:t xml:space="preserve">  </w:t>
      </w:r>
      <w:r>
        <w:rPr>
          <w:rFonts w:ascii="仿宋" w:eastAsia="仿宋" w:hAnsi="仿宋" w:hint="eastAsia"/>
          <w:sz w:val="30"/>
          <w:szCs w:val="30"/>
        </w:rPr>
        <w:t>第十三条</w:t>
      </w:r>
      <w:r>
        <w:rPr>
          <w:rFonts w:ascii="宋体" w:eastAsia="宋体" w:hAnsi="宋体" w:cs="宋体" w:hint="eastAsia"/>
          <w:sz w:val="30"/>
          <w:szCs w:val="30"/>
        </w:rPr>
        <w:t>  </w:t>
      </w:r>
      <w:r>
        <w:rPr>
          <w:rFonts w:ascii="仿宋" w:eastAsia="仿宋" w:hAnsi="仿宋" w:hint="eastAsia"/>
          <w:sz w:val="30"/>
          <w:szCs w:val="30"/>
        </w:rPr>
        <w:t>债务人整体营业转让的，管理人应当就债务人的经营资质、特许经营权是否可以一并转让以及竞买人资格等问题征询相关主体意见，并形成调查报告，供意向竞买人查阅。</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第十四条</w:t>
      </w:r>
      <w:r>
        <w:rPr>
          <w:rFonts w:ascii="宋体" w:eastAsia="宋体" w:hAnsi="宋体" w:cs="宋体" w:hint="eastAsia"/>
          <w:sz w:val="30"/>
          <w:szCs w:val="30"/>
        </w:rPr>
        <w:t>  </w:t>
      </w:r>
      <w:r>
        <w:rPr>
          <w:rFonts w:ascii="仿宋" w:eastAsia="仿宋" w:hAnsi="仿宋" w:hint="eastAsia"/>
          <w:sz w:val="30"/>
          <w:szCs w:val="30"/>
        </w:rPr>
        <w:t>采用网络拍卖方式处置债务人财产的，一般情况下管理人应当提出处置</w:t>
      </w:r>
      <w:proofErr w:type="gramStart"/>
      <w:r>
        <w:rPr>
          <w:rFonts w:ascii="仿宋" w:eastAsia="仿宋" w:hAnsi="仿宋" w:hint="eastAsia"/>
          <w:sz w:val="30"/>
          <w:szCs w:val="30"/>
        </w:rPr>
        <w:t>参考价供债权人</w:t>
      </w:r>
      <w:proofErr w:type="gramEnd"/>
      <w:r>
        <w:rPr>
          <w:rFonts w:ascii="仿宋" w:eastAsia="仿宋" w:hAnsi="仿宋" w:hint="eastAsia"/>
          <w:sz w:val="30"/>
          <w:szCs w:val="30"/>
        </w:rPr>
        <w:t>会议参考确定起拍价。债权人会议也可以授权管理人自行确定起拍价。</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管理人应参照《最高人民法院关于人民法院确定财产处置参考价若干问题的规定》以定向询价、网络询价、委托评估等方式确定参考价。</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无法通过定向询价、网络询价、委托评估等方式确定参考价，或者委托评估费用过高的，管理人可以根据市场交易价格、财务数据等进行估价。</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第十五条</w:t>
      </w:r>
      <w:r>
        <w:rPr>
          <w:rFonts w:ascii="宋体" w:eastAsia="宋体" w:hAnsi="宋体" w:cs="宋体" w:hint="eastAsia"/>
          <w:sz w:val="30"/>
          <w:szCs w:val="30"/>
        </w:rPr>
        <w:t>  </w:t>
      </w:r>
      <w:r>
        <w:rPr>
          <w:rFonts w:ascii="仿宋" w:eastAsia="仿宋" w:hAnsi="仿宋" w:hint="eastAsia"/>
          <w:sz w:val="30"/>
          <w:szCs w:val="30"/>
        </w:rPr>
        <w:t>债权人会议无法就起拍价</w:t>
      </w:r>
      <w:proofErr w:type="gramStart"/>
      <w:r>
        <w:rPr>
          <w:rFonts w:ascii="仿宋" w:eastAsia="仿宋" w:hAnsi="仿宋" w:hint="eastAsia"/>
          <w:sz w:val="30"/>
          <w:szCs w:val="30"/>
        </w:rPr>
        <w:t>作出</w:t>
      </w:r>
      <w:proofErr w:type="gramEnd"/>
      <w:r>
        <w:rPr>
          <w:rFonts w:ascii="仿宋" w:eastAsia="仿宋" w:hAnsi="仿宋" w:hint="eastAsia"/>
          <w:sz w:val="30"/>
          <w:szCs w:val="30"/>
        </w:rPr>
        <w:t>决议的，按处置参考价确定起拍价。</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第十六条</w:t>
      </w:r>
      <w:r>
        <w:rPr>
          <w:rFonts w:ascii="宋体" w:eastAsia="宋体" w:hAnsi="宋体" w:cs="宋体" w:hint="eastAsia"/>
          <w:sz w:val="30"/>
          <w:szCs w:val="30"/>
        </w:rPr>
        <w:t>  </w:t>
      </w:r>
      <w:r>
        <w:rPr>
          <w:rFonts w:ascii="仿宋" w:eastAsia="仿宋" w:hAnsi="仿宋" w:hint="eastAsia"/>
          <w:sz w:val="30"/>
          <w:szCs w:val="30"/>
        </w:rPr>
        <w:t>债权人会议或债权人委员会可以授权管理人自行确定起拍价。</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第十七条</w:t>
      </w:r>
      <w:r>
        <w:rPr>
          <w:rFonts w:ascii="宋体" w:eastAsia="宋体" w:hAnsi="宋体" w:cs="宋体" w:hint="eastAsia"/>
          <w:sz w:val="30"/>
          <w:szCs w:val="30"/>
        </w:rPr>
        <w:t>  </w:t>
      </w:r>
      <w:r>
        <w:rPr>
          <w:rFonts w:ascii="仿宋" w:eastAsia="仿宋" w:hAnsi="仿宋" w:hint="eastAsia"/>
          <w:sz w:val="30"/>
          <w:szCs w:val="30"/>
        </w:rPr>
        <w:t>竞买人应当交纳的保证金数额原则上在起拍价的百分之五至百分之二十范围内确定。债权人会议决议保证金数额不在上述范围内的，依其决议确定。</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第十八条</w:t>
      </w:r>
      <w:r>
        <w:rPr>
          <w:rFonts w:ascii="宋体" w:eastAsia="宋体" w:hAnsi="宋体" w:cs="宋体" w:hint="eastAsia"/>
          <w:sz w:val="30"/>
          <w:szCs w:val="30"/>
        </w:rPr>
        <w:t>  </w:t>
      </w:r>
      <w:r>
        <w:rPr>
          <w:rFonts w:ascii="仿宋" w:eastAsia="仿宋" w:hAnsi="仿宋" w:hint="eastAsia"/>
          <w:sz w:val="30"/>
          <w:szCs w:val="30"/>
        </w:rPr>
        <w:t>债务人财产网络拍卖的拍卖次数不受限制。为提高财产处置效率</w:t>
      </w:r>
      <w:r>
        <w:rPr>
          <w:rFonts w:ascii="仿宋" w:eastAsia="仿宋" w:hAnsi="仿宋" w:hint="eastAsia"/>
          <w:sz w:val="30"/>
          <w:szCs w:val="30"/>
        </w:rPr>
        <w:t>，债权人会议关于财产变价方案的决议内容可以明确债务人财产通过多次网络拍卖直至变现为止。</w:t>
      </w:r>
    </w:p>
    <w:p w:rsidR="0083368E" w:rsidRDefault="008708C0">
      <w:pPr>
        <w:rPr>
          <w:rFonts w:ascii="仿宋" w:eastAsia="仿宋" w:hAnsi="仿宋"/>
          <w:sz w:val="30"/>
          <w:szCs w:val="30"/>
        </w:rPr>
      </w:pPr>
      <w:r>
        <w:rPr>
          <w:rFonts w:ascii="仿宋" w:eastAsia="仿宋" w:hAnsi="仿宋" w:hint="eastAsia"/>
          <w:sz w:val="30"/>
          <w:szCs w:val="30"/>
        </w:rPr>
        <w:lastRenderedPageBreak/>
        <w:t>  </w:t>
      </w:r>
      <w:r>
        <w:rPr>
          <w:rFonts w:ascii="仿宋" w:eastAsia="仿宋" w:hAnsi="仿宋" w:hint="eastAsia"/>
          <w:sz w:val="30"/>
          <w:szCs w:val="30"/>
        </w:rPr>
        <w:t xml:space="preserve">  </w:t>
      </w:r>
      <w:r>
        <w:rPr>
          <w:rFonts w:ascii="仿宋" w:eastAsia="仿宋" w:hAnsi="仿宋" w:hint="eastAsia"/>
          <w:sz w:val="30"/>
          <w:szCs w:val="30"/>
        </w:rPr>
        <w:t>第十九条</w:t>
      </w:r>
      <w:r>
        <w:rPr>
          <w:rFonts w:ascii="宋体" w:eastAsia="宋体" w:hAnsi="宋体" w:cs="宋体" w:hint="eastAsia"/>
          <w:sz w:val="30"/>
          <w:szCs w:val="30"/>
        </w:rPr>
        <w:t>  </w:t>
      </w:r>
      <w:r>
        <w:rPr>
          <w:rFonts w:ascii="仿宋" w:eastAsia="仿宋" w:hAnsi="仿宋" w:hint="eastAsia"/>
          <w:sz w:val="30"/>
          <w:szCs w:val="30"/>
        </w:rPr>
        <w:t>拍卖成交前，管理人认为拍卖财产可能损害第三人合法权益或有其他正当理由可决定暂缓、中止、停止网络拍卖，但应及时向债权人委员会和人民法院报告。</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第二十条</w:t>
      </w:r>
      <w:r>
        <w:rPr>
          <w:rFonts w:ascii="宋体" w:eastAsia="宋体" w:hAnsi="宋体" w:cs="宋体" w:hint="eastAsia"/>
          <w:sz w:val="30"/>
          <w:szCs w:val="30"/>
        </w:rPr>
        <w:t>  </w:t>
      </w:r>
      <w:r>
        <w:rPr>
          <w:rFonts w:ascii="仿宋" w:eastAsia="仿宋" w:hAnsi="仿宋" w:hint="eastAsia"/>
          <w:sz w:val="30"/>
          <w:szCs w:val="30"/>
        </w:rPr>
        <w:t>拍卖成交后买受</w:t>
      </w:r>
      <w:proofErr w:type="gramStart"/>
      <w:r>
        <w:rPr>
          <w:rFonts w:ascii="仿宋" w:eastAsia="仿宋" w:hAnsi="仿宋" w:hint="eastAsia"/>
          <w:sz w:val="30"/>
          <w:szCs w:val="30"/>
        </w:rPr>
        <w:t>人悔拍</w:t>
      </w:r>
      <w:proofErr w:type="gramEnd"/>
      <w:r>
        <w:rPr>
          <w:rFonts w:ascii="仿宋" w:eastAsia="仿宋" w:hAnsi="仿宋" w:hint="eastAsia"/>
          <w:sz w:val="30"/>
          <w:szCs w:val="30"/>
        </w:rPr>
        <w:t>的，交纳的保证金不予退还，计入债务人财产。保证金数额不足以弥补拍卖费用损失以及重新拍卖价款低于原拍卖价款的差价的，管理人</w:t>
      </w:r>
      <w:proofErr w:type="gramStart"/>
      <w:r>
        <w:rPr>
          <w:rFonts w:ascii="仿宋" w:eastAsia="仿宋" w:hAnsi="仿宋" w:hint="eastAsia"/>
          <w:sz w:val="30"/>
          <w:szCs w:val="30"/>
        </w:rPr>
        <w:t>可向悔拍人</w:t>
      </w:r>
      <w:proofErr w:type="gramEnd"/>
      <w:r>
        <w:rPr>
          <w:rFonts w:ascii="仿宋" w:eastAsia="仿宋" w:hAnsi="仿宋" w:hint="eastAsia"/>
          <w:sz w:val="30"/>
          <w:szCs w:val="30"/>
        </w:rPr>
        <w:t>追索。</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proofErr w:type="gramStart"/>
      <w:r>
        <w:rPr>
          <w:rFonts w:ascii="仿宋" w:eastAsia="仿宋" w:hAnsi="仿宋" w:hint="eastAsia"/>
          <w:sz w:val="30"/>
          <w:szCs w:val="30"/>
        </w:rPr>
        <w:t>悔</w:t>
      </w:r>
      <w:proofErr w:type="gramEnd"/>
      <w:r>
        <w:rPr>
          <w:rFonts w:ascii="仿宋" w:eastAsia="仿宋" w:hAnsi="仿宋" w:hint="eastAsia"/>
          <w:sz w:val="30"/>
          <w:szCs w:val="30"/>
        </w:rPr>
        <w:t>拍后重新拍卖的，除管理人认为原买受</w:t>
      </w:r>
      <w:proofErr w:type="gramStart"/>
      <w:r>
        <w:rPr>
          <w:rFonts w:ascii="仿宋" w:eastAsia="仿宋" w:hAnsi="仿宋" w:hint="eastAsia"/>
          <w:sz w:val="30"/>
          <w:szCs w:val="30"/>
        </w:rPr>
        <w:t>人悔拍非</w:t>
      </w:r>
      <w:proofErr w:type="gramEnd"/>
      <w:r>
        <w:rPr>
          <w:rFonts w:ascii="仿宋" w:eastAsia="仿宋" w:hAnsi="仿宋" w:hint="eastAsia"/>
          <w:sz w:val="30"/>
          <w:szCs w:val="30"/>
        </w:rPr>
        <w:t>因其自身原因的以外，原买受人不得参</w:t>
      </w:r>
      <w:r>
        <w:rPr>
          <w:rFonts w:ascii="仿宋" w:eastAsia="仿宋" w:hAnsi="仿宋" w:hint="eastAsia"/>
          <w:sz w:val="30"/>
          <w:szCs w:val="30"/>
        </w:rPr>
        <w:t>加竞买。</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第二十一条</w:t>
      </w:r>
      <w:r>
        <w:rPr>
          <w:rFonts w:ascii="宋体" w:eastAsia="宋体" w:hAnsi="宋体" w:cs="宋体" w:hint="eastAsia"/>
          <w:sz w:val="30"/>
          <w:szCs w:val="30"/>
        </w:rPr>
        <w:t>  </w:t>
      </w:r>
      <w:r>
        <w:rPr>
          <w:rFonts w:ascii="仿宋" w:eastAsia="仿宋" w:hAnsi="仿宋" w:hint="eastAsia"/>
          <w:sz w:val="30"/>
          <w:szCs w:val="30"/>
        </w:rPr>
        <w:t>拍卖成交后，由网络拍卖平台自动生成确认书并公示，确认书中载明实际买受人的身份、竞买代码等信息。买受人可以向管理人申请不公开身份信息。</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第二十二条</w:t>
      </w:r>
      <w:r>
        <w:rPr>
          <w:rFonts w:ascii="宋体" w:eastAsia="宋体" w:hAnsi="宋体" w:cs="宋体" w:hint="eastAsia"/>
          <w:sz w:val="30"/>
          <w:szCs w:val="30"/>
        </w:rPr>
        <w:t>  </w:t>
      </w:r>
      <w:r>
        <w:rPr>
          <w:rFonts w:ascii="仿宋" w:eastAsia="仿宋" w:hAnsi="仿宋" w:hint="eastAsia"/>
          <w:sz w:val="30"/>
          <w:szCs w:val="30"/>
        </w:rPr>
        <w:t>管理人应当协助买受人办理拍卖财产交付、证照变更及权属转移手续，必要时可以申请人民法院出具协助执行通知书。</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第二十三条</w:t>
      </w:r>
      <w:r>
        <w:rPr>
          <w:rFonts w:ascii="宋体" w:eastAsia="宋体" w:hAnsi="宋体" w:cs="宋体" w:hint="eastAsia"/>
          <w:sz w:val="30"/>
          <w:szCs w:val="30"/>
        </w:rPr>
        <w:t>  </w:t>
      </w:r>
      <w:r>
        <w:rPr>
          <w:rFonts w:ascii="仿宋" w:eastAsia="仿宋" w:hAnsi="仿宋" w:hint="eastAsia"/>
          <w:sz w:val="30"/>
          <w:szCs w:val="30"/>
        </w:rPr>
        <w:t>网络拍卖竞价期间无人出价的，本次拍卖流拍。按照债权人会议决议需要在流拍后再次拍卖的，管理人应</w:t>
      </w:r>
      <w:proofErr w:type="gramStart"/>
      <w:r>
        <w:rPr>
          <w:rFonts w:ascii="仿宋" w:eastAsia="仿宋" w:hAnsi="仿宋" w:hint="eastAsia"/>
          <w:sz w:val="30"/>
          <w:szCs w:val="30"/>
        </w:rPr>
        <w:t>自流拍</w:t>
      </w:r>
      <w:proofErr w:type="gramEnd"/>
      <w:r>
        <w:rPr>
          <w:rFonts w:ascii="仿宋" w:eastAsia="仿宋" w:hAnsi="仿宋" w:hint="eastAsia"/>
          <w:sz w:val="30"/>
          <w:szCs w:val="30"/>
        </w:rPr>
        <w:t>之日起五个工作日内再次启动网络拍卖程序，确有特殊情况的除外。</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第二十四条</w:t>
      </w:r>
      <w:r>
        <w:rPr>
          <w:rFonts w:ascii="宋体" w:eastAsia="宋体" w:hAnsi="宋体" w:cs="宋体" w:hint="eastAsia"/>
          <w:sz w:val="30"/>
          <w:szCs w:val="30"/>
        </w:rPr>
        <w:t>  </w:t>
      </w:r>
      <w:r>
        <w:rPr>
          <w:rFonts w:ascii="仿宋" w:eastAsia="仿宋" w:hAnsi="仿宋" w:hint="eastAsia"/>
          <w:sz w:val="30"/>
          <w:szCs w:val="30"/>
        </w:rPr>
        <w:t>管理人在处置财产中勤勉尽责，对于降低成本、提升效率</w:t>
      </w:r>
      <w:proofErr w:type="gramStart"/>
      <w:r>
        <w:rPr>
          <w:rFonts w:ascii="仿宋" w:eastAsia="仿宋" w:hAnsi="仿宋" w:hint="eastAsia"/>
          <w:sz w:val="30"/>
          <w:szCs w:val="30"/>
        </w:rPr>
        <w:t>作出</w:t>
      </w:r>
      <w:proofErr w:type="gramEnd"/>
      <w:r>
        <w:rPr>
          <w:rFonts w:ascii="仿宋" w:eastAsia="仿宋" w:hAnsi="仿宋" w:hint="eastAsia"/>
          <w:sz w:val="30"/>
          <w:szCs w:val="30"/>
        </w:rPr>
        <w:t>实际贡献的，人民法院应当将其作为确定或者调整管理人报酬方案的</w:t>
      </w:r>
      <w:proofErr w:type="gramStart"/>
      <w:r>
        <w:rPr>
          <w:rFonts w:ascii="仿宋" w:eastAsia="仿宋" w:hAnsi="仿宋" w:hint="eastAsia"/>
          <w:sz w:val="30"/>
          <w:szCs w:val="30"/>
        </w:rPr>
        <w:t>考量</w:t>
      </w:r>
      <w:proofErr w:type="gramEnd"/>
      <w:r>
        <w:rPr>
          <w:rFonts w:ascii="仿宋" w:eastAsia="仿宋" w:hAnsi="仿宋" w:hint="eastAsia"/>
          <w:sz w:val="30"/>
          <w:szCs w:val="30"/>
        </w:rPr>
        <w:t>因素。</w:t>
      </w:r>
    </w:p>
    <w:p w:rsidR="0083368E" w:rsidRDefault="008708C0">
      <w:pPr>
        <w:rPr>
          <w:rFonts w:ascii="仿宋" w:eastAsia="仿宋" w:hAnsi="仿宋"/>
          <w:sz w:val="30"/>
          <w:szCs w:val="30"/>
        </w:rPr>
      </w:pPr>
      <w:r>
        <w:rPr>
          <w:rFonts w:ascii="仿宋" w:eastAsia="仿宋" w:hAnsi="仿宋" w:hint="eastAsia"/>
          <w:sz w:val="30"/>
          <w:szCs w:val="30"/>
        </w:rPr>
        <w:lastRenderedPageBreak/>
        <w:t>  </w:t>
      </w:r>
      <w:r>
        <w:rPr>
          <w:rFonts w:ascii="仿宋" w:eastAsia="仿宋" w:hAnsi="仿宋" w:hint="eastAsia"/>
          <w:sz w:val="30"/>
          <w:szCs w:val="30"/>
        </w:rPr>
        <w:t xml:space="preserve">  </w:t>
      </w:r>
      <w:r>
        <w:rPr>
          <w:rFonts w:ascii="仿宋" w:eastAsia="仿宋" w:hAnsi="仿宋" w:hint="eastAsia"/>
          <w:sz w:val="30"/>
          <w:szCs w:val="30"/>
        </w:rPr>
        <w:t>第二十五条</w:t>
      </w:r>
      <w:r>
        <w:rPr>
          <w:rFonts w:ascii="宋体" w:eastAsia="宋体" w:hAnsi="宋体" w:cs="宋体" w:hint="eastAsia"/>
          <w:sz w:val="30"/>
          <w:szCs w:val="30"/>
        </w:rPr>
        <w:t>  </w:t>
      </w:r>
      <w:r>
        <w:rPr>
          <w:rFonts w:ascii="仿宋" w:eastAsia="仿宋" w:hAnsi="仿宋" w:hint="eastAsia"/>
          <w:sz w:val="30"/>
          <w:szCs w:val="30"/>
        </w:rPr>
        <w:t>管理人无正当理由未及时启动变价造成财产损失的，人民法院可以采取减少管理人报酬、更换管理人并暂停其执业等措施。</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管理人未勤勉尽责、忠实执行职务，在处置债务人财产过程中给债权人、债务人或者第三人造成损失的，依法承担赔偿责任。</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第二十六条</w:t>
      </w:r>
      <w:r>
        <w:rPr>
          <w:rFonts w:ascii="宋体" w:eastAsia="宋体" w:hAnsi="宋体" w:cs="宋体" w:hint="eastAsia"/>
          <w:sz w:val="30"/>
          <w:szCs w:val="30"/>
        </w:rPr>
        <w:t>  </w:t>
      </w:r>
      <w:r>
        <w:rPr>
          <w:rFonts w:ascii="仿宋" w:eastAsia="仿宋" w:hAnsi="仿宋" w:hint="eastAsia"/>
          <w:sz w:val="30"/>
          <w:szCs w:val="30"/>
        </w:rPr>
        <w:t>管理人通过网络拍卖方式处置债务人财产，本办法没有规定的，可参照适用《最高人民法院关于人民法院网络司法拍卖若干问题的规定》。</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第二十七条</w:t>
      </w:r>
      <w:r>
        <w:rPr>
          <w:rFonts w:ascii="宋体" w:eastAsia="宋体" w:hAnsi="宋体" w:cs="宋体" w:hint="eastAsia"/>
          <w:sz w:val="30"/>
          <w:szCs w:val="30"/>
        </w:rPr>
        <w:t>  </w:t>
      </w:r>
      <w:r>
        <w:rPr>
          <w:rFonts w:ascii="仿宋" w:eastAsia="仿宋" w:hAnsi="仿宋" w:hint="eastAsia"/>
          <w:sz w:val="30"/>
          <w:szCs w:val="30"/>
        </w:rPr>
        <w:t>经人民法院批准自行管理财产和营业事务的债务人，在管理人和债权人会议的监督下自行通过网络拍卖平台处置财产的，适用本办法。</w:t>
      </w:r>
    </w:p>
    <w:p w:rsidR="0083368E" w:rsidRDefault="008708C0">
      <w:pPr>
        <w:rPr>
          <w:rFonts w:ascii="仿宋" w:eastAsia="仿宋" w:hAnsi="仿宋"/>
          <w:sz w:val="30"/>
          <w:szCs w:val="30"/>
        </w:rPr>
      </w:pP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第二十八条</w:t>
      </w:r>
      <w:r>
        <w:rPr>
          <w:rFonts w:ascii="宋体" w:eastAsia="宋体" w:hAnsi="宋体" w:cs="宋体" w:hint="eastAsia"/>
          <w:sz w:val="30"/>
          <w:szCs w:val="30"/>
        </w:rPr>
        <w:t>  </w:t>
      </w:r>
      <w:r>
        <w:rPr>
          <w:rFonts w:ascii="仿宋" w:eastAsia="仿宋" w:hAnsi="仿宋" w:hint="eastAsia"/>
          <w:sz w:val="30"/>
          <w:szCs w:val="30"/>
        </w:rPr>
        <w:t>强制清算案件中，清算组处置被清算企业财产的参照适用本办法。</w:t>
      </w:r>
    </w:p>
    <w:p w:rsidR="0083368E" w:rsidRDefault="008708C0">
      <w:pPr>
        <w:rPr>
          <w:rFonts w:ascii="仿宋" w:eastAsia="仿宋" w:hAnsi="仿宋"/>
          <w:sz w:val="30"/>
          <w:szCs w:val="30"/>
        </w:rPr>
      </w:pPr>
      <w:r>
        <w:rPr>
          <w:rFonts w:ascii="仿宋" w:eastAsia="仿宋" w:hAnsi="仿宋"/>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E16482820170429100250" style="position:absolute;left:0;text-align:left;margin-left:245.3pt;margin-top:22.3pt;width:127.5pt;height:127.5pt;z-index:251663360;mso-width-relative:page;mso-height-relative:page">
            <v:imagedata r:id="rId6" o:title=""/>
          </v:shape>
        </w:pict>
      </w:r>
      <w:r>
        <w:rPr>
          <w:rFonts w:ascii="仿宋" w:eastAsia="仿宋" w:hAnsi="仿宋" w:hint="eastAsia"/>
          <w:sz w:val="30"/>
          <w:szCs w:val="30"/>
        </w:rPr>
        <w:t>  </w:t>
      </w:r>
      <w:r>
        <w:rPr>
          <w:rFonts w:ascii="仿宋" w:eastAsia="仿宋" w:hAnsi="仿宋" w:hint="eastAsia"/>
          <w:sz w:val="30"/>
          <w:szCs w:val="30"/>
        </w:rPr>
        <w:t xml:space="preserve">  </w:t>
      </w:r>
      <w:r>
        <w:rPr>
          <w:rFonts w:ascii="仿宋" w:eastAsia="仿宋" w:hAnsi="仿宋" w:hint="eastAsia"/>
          <w:sz w:val="30"/>
          <w:szCs w:val="30"/>
        </w:rPr>
        <w:t>第二十九条</w:t>
      </w:r>
      <w:r>
        <w:rPr>
          <w:rFonts w:ascii="宋体" w:eastAsia="宋体" w:hAnsi="宋体" w:cs="宋体" w:hint="eastAsia"/>
          <w:sz w:val="30"/>
          <w:szCs w:val="30"/>
        </w:rPr>
        <w:t>  </w:t>
      </w:r>
      <w:r>
        <w:rPr>
          <w:rFonts w:ascii="仿宋" w:eastAsia="仿宋" w:hAnsi="仿宋" w:hint="eastAsia"/>
          <w:sz w:val="30"/>
          <w:szCs w:val="30"/>
        </w:rPr>
        <w:t>本办法自2023</w:t>
      </w:r>
      <w:r>
        <w:rPr>
          <w:rFonts w:ascii="仿宋" w:eastAsia="仿宋" w:hAnsi="仿宋" w:hint="eastAsia"/>
          <w:sz w:val="30"/>
          <w:szCs w:val="30"/>
        </w:rPr>
        <w:t>年1</w:t>
      </w:r>
      <w:r>
        <w:rPr>
          <w:rFonts w:ascii="仿宋" w:eastAsia="仿宋" w:hAnsi="仿宋" w:hint="eastAsia"/>
          <w:sz w:val="30"/>
          <w:szCs w:val="30"/>
        </w:rPr>
        <w:t>月5</w:t>
      </w:r>
      <w:r>
        <w:rPr>
          <w:rFonts w:ascii="仿宋" w:eastAsia="仿宋" w:hAnsi="仿宋" w:hint="eastAsia"/>
          <w:sz w:val="30"/>
          <w:szCs w:val="30"/>
        </w:rPr>
        <w:t>日起施行。</w:t>
      </w:r>
    </w:p>
    <w:p w:rsidR="0083368E" w:rsidRDefault="0083368E">
      <w:pPr>
        <w:rPr>
          <w:rFonts w:ascii="仿宋" w:eastAsia="仿宋" w:hAnsi="仿宋"/>
          <w:sz w:val="30"/>
          <w:szCs w:val="30"/>
        </w:rPr>
      </w:pPr>
    </w:p>
    <w:p w:rsidR="0083368E" w:rsidRDefault="0083368E">
      <w:pPr>
        <w:rPr>
          <w:rFonts w:ascii="仿宋" w:eastAsia="仿宋" w:hAnsi="仿宋"/>
          <w:sz w:val="30"/>
          <w:szCs w:val="30"/>
        </w:rPr>
      </w:pPr>
    </w:p>
    <w:p w:rsidR="0083368E" w:rsidRDefault="008708C0">
      <w:pPr>
        <w:rPr>
          <w:rFonts w:ascii="仿宋" w:eastAsia="仿宋" w:hAnsi="仿宋"/>
          <w:sz w:val="30"/>
          <w:szCs w:val="30"/>
        </w:rPr>
      </w:pPr>
      <w:r>
        <w:rPr>
          <w:rFonts w:ascii="仿宋" w:eastAsia="仿宋" w:hAnsi="仿宋" w:hint="eastAsia"/>
          <w:sz w:val="30"/>
          <w:szCs w:val="30"/>
        </w:rPr>
        <w:t xml:space="preserve">                                   2023</w:t>
      </w:r>
      <w:r>
        <w:rPr>
          <w:rFonts w:ascii="仿宋" w:eastAsia="仿宋" w:hAnsi="仿宋" w:hint="eastAsia"/>
          <w:sz w:val="30"/>
          <w:szCs w:val="30"/>
        </w:rPr>
        <w:t>年1</w:t>
      </w:r>
      <w:r>
        <w:rPr>
          <w:rFonts w:ascii="仿宋" w:eastAsia="仿宋" w:hAnsi="仿宋" w:hint="eastAsia"/>
          <w:sz w:val="30"/>
          <w:szCs w:val="30"/>
        </w:rPr>
        <w:t>月5</w:t>
      </w:r>
      <w:r>
        <w:rPr>
          <w:rFonts w:ascii="仿宋" w:eastAsia="仿宋" w:hAnsi="仿宋" w:hint="eastAsia"/>
          <w:sz w:val="30"/>
          <w:szCs w:val="30"/>
        </w:rPr>
        <w:t>日</w:t>
      </w:r>
      <w:bookmarkStart w:id="0" w:name="_GoBack"/>
      <w:bookmarkEnd w:id="0"/>
    </w:p>
    <w:p w:rsidR="0083368E" w:rsidRDefault="0083368E"/>
    <w:p w:rsidR="0083368E" w:rsidRDefault="0083368E"/>
    <w:p w:rsidR="0083368E" w:rsidRDefault="0083368E"/>
    <w:p w:rsidR="0083368E" w:rsidRDefault="0083368E"/>
    <w:p w:rsidR="0083368E" w:rsidRDefault="0083368E"/>
    <w:p w:rsidR="0083368E" w:rsidRDefault="0083368E">
      <w:pPr>
        <w:spacing w:line="560" w:lineRule="exact"/>
        <w:rPr>
          <w:rFonts w:ascii="仿宋_GB2312" w:eastAsia="仿宋_GB2312"/>
          <w:sz w:val="28"/>
          <w:szCs w:val="28"/>
        </w:rPr>
      </w:pPr>
    </w:p>
    <w:p w:rsidR="0083368E" w:rsidRDefault="008708C0">
      <w:pPr>
        <w:spacing w:line="560" w:lineRule="exact"/>
        <w:rPr>
          <w:rFonts w:ascii="方正小标宋简体" w:eastAsia="方正小标宋简体"/>
          <w:color w:val="FF0000"/>
          <w:spacing w:val="-20"/>
          <w:w w:val="66"/>
          <w:sz w:val="120"/>
          <w:szCs w:val="90"/>
        </w:rPr>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387985</wp:posOffset>
                </wp:positionV>
                <wp:extent cx="5715000" cy="0"/>
                <wp:effectExtent l="0" t="0" r="1905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30.55pt;height:0pt;width:450pt;z-index:251662336;mso-width-relative:page;mso-height-relative:page;" filled="f" stroked="t" coordsize="21600,21600" o:gfxdata="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Ept3g0wAAAAYBAAAP&#10;AAAAAAAAAAEAIAAAACIAAABkcnMvZG93bnJldi54bWxQSwECFAAUAAAACACHTuJAizgRaeQBAACq&#10;AwAADgAAAAAAAAABACAAAAAiAQAAZHJzL2Uyb0RvYy54bWxQSwUGAAAAAAYABgBZAQAAeAU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31115</wp:posOffset>
                </wp:positionV>
                <wp:extent cx="5715000" cy="0"/>
                <wp:effectExtent l="0" t="0" r="1905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2.45pt;height:0pt;width:450pt;z-index:251661312;mso-width-relative:page;mso-height-relative:page;" filled="f" stroked="t" coordsize="21600,21600" o:gfxdata="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xRK6r0QAAAAQBAAAPAAAA&#10;AAAAAAEAIAAAACIAAABkcnMvZG93bnJldi54bWxQSwECFAAUAAAACACHTuJA+EM/vOMBAACqAwAA&#10;DgAAAAAAAAABACAAAAAgAQAAZHJzL2Uyb0RvYy54bWxQSwUGAAAAAAYABgBZAQAAdQUAAAAA&#10;">
                <v:fill on="f" focussize="0,0"/>
                <v:stroke color="#000000" joinstyle="round"/>
                <v:imagedata o:title=""/>
                <o:lock v:ext="edit" aspectratio="f"/>
              </v:line>
            </w:pict>
          </mc:Fallback>
        </mc:AlternateContent>
      </w:r>
      <w:r>
        <w:rPr>
          <w:rFonts w:ascii="仿宋_GB2312" w:eastAsia="仿宋_GB2312" w:hint="eastAsia"/>
          <w:sz w:val="28"/>
          <w:szCs w:val="28"/>
        </w:rPr>
        <w:t xml:space="preserve"> </w:t>
      </w: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27305</wp:posOffset>
                </wp:positionV>
                <wp:extent cx="5715000" cy="0"/>
                <wp:effectExtent l="0" t="0" r="1905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2.15pt;height:0pt;width:450pt;z-index:251660288;mso-width-relative:page;mso-height-relative:page;" filled="f" stroked="t" coordsize="21600,21600" o:gfxdata="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UdezWNIAAAAEAQAADwAA&#10;AAAAAAABACAAAAAiAAAAZHJzL2Rvd25yZXYueG1sUEsBAhQAFAAAAAgAh07iQCzIPBjjAQAAqgMA&#10;AA4AAAAAAAAAAQAgAAAAIQEAAGRycy9lMm9Eb2MueG1sUEsFBgAAAAAGAAYAWQEAAHYFAAAAAA==&#10;">
                <v:fill on="f" focussize="0,0"/>
                <v:stroke color="#000000" joinstyle="round"/>
                <v:imagedata o:title=""/>
                <o:lock v:ext="edit" aspectratio="f"/>
              </v:line>
            </w:pict>
          </mc:Fallback>
        </mc:AlternateContent>
      </w:r>
      <w:r>
        <w:rPr>
          <w:rFonts w:ascii="仿宋_GB2312" w:eastAsia="仿宋_GB2312" w:hint="eastAsia"/>
          <w:sz w:val="28"/>
          <w:szCs w:val="28"/>
        </w:rPr>
        <w:t>吉水县人民法院综合办公室              2023</w:t>
      </w:r>
      <w:r>
        <w:rPr>
          <w:rFonts w:ascii="仿宋_GB2312" w:eastAsia="仿宋_GB2312" w:hint="eastAsia"/>
          <w:sz w:val="28"/>
          <w:szCs w:val="28"/>
        </w:rPr>
        <w:t>年1</w:t>
      </w:r>
      <w:r>
        <w:rPr>
          <w:rFonts w:ascii="仿宋_GB2312" w:eastAsia="仿宋_GB2312" w:hint="eastAsia"/>
          <w:sz w:val="28"/>
          <w:szCs w:val="28"/>
        </w:rPr>
        <w:t>月5</w:t>
      </w:r>
      <w:r>
        <w:rPr>
          <w:rFonts w:ascii="仿宋_GB2312" w:eastAsia="仿宋_GB2312" w:hint="eastAsia"/>
          <w:sz w:val="28"/>
          <w:szCs w:val="28"/>
        </w:rPr>
        <w:t>日印发</w:t>
      </w:r>
    </w:p>
    <w:sectPr w:rsidR="008336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4EF"/>
    <w:rsid w:val="00071227"/>
    <w:rsid w:val="0016114C"/>
    <w:rsid w:val="001B2215"/>
    <w:rsid w:val="00324495"/>
    <w:rsid w:val="003E2BC2"/>
    <w:rsid w:val="003E3ADB"/>
    <w:rsid w:val="006A1E44"/>
    <w:rsid w:val="006E74EF"/>
    <w:rsid w:val="006F2E61"/>
    <w:rsid w:val="006F7D3D"/>
    <w:rsid w:val="0083368E"/>
    <w:rsid w:val="008708C0"/>
    <w:rsid w:val="009B4120"/>
    <w:rsid w:val="00B672CB"/>
    <w:rsid w:val="00BD2311"/>
    <w:rsid w:val="00C45C02"/>
    <w:rsid w:val="00CE5F0A"/>
    <w:rsid w:val="00E84835"/>
    <w:rsid w:val="73357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515</Words>
  <Characters>2940</Characters>
  <Application>Microsoft Office Word</Application>
  <DocSecurity>0</DocSecurity>
  <Lines>24</Lines>
  <Paragraphs>6</Paragraphs>
  <ScaleCrop>false</ScaleCrop>
  <Company>Microsoft</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dc:creator>
  <cp:lastModifiedBy>张长根</cp:lastModifiedBy>
  <cp:revision>9</cp:revision>
  <dcterms:created xsi:type="dcterms:W3CDTF">2022-08-07T04:34:00Z</dcterms:created>
  <dcterms:modified xsi:type="dcterms:W3CDTF">2023-07-21T00:23:00Z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