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5" w:rsidRPr="00260325" w:rsidRDefault="00260325" w:rsidP="00260325">
      <w:pPr>
        <w:jc w:val="distribute"/>
        <w:rPr>
          <w:rFonts w:ascii="方正小标宋简体" w:eastAsia="方正小标宋简体" w:hAnsi="Calibri" w:cs="方正小标宋简体"/>
          <w:color w:val="FF0000"/>
          <w:spacing w:val="-20"/>
          <w:w w:val="66"/>
          <w:sz w:val="120"/>
          <w:szCs w:val="90"/>
        </w:rPr>
      </w:pPr>
      <w:r w:rsidRPr="00260325">
        <w:rPr>
          <w:rFonts w:ascii="方正小标宋简体" w:eastAsia="方正小标宋简体" w:hAnsi="Calibri" w:cs="方正小标宋简体" w:hint="eastAsia"/>
          <w:color w:val="FF0000"/>
          <w:spacing w:val="-20"/>
          <w:w w:val="66"/>
          <w:sz w:val="120"/>
          <w:szCs w:val="90"/>
        </w:rPr>
        <w:t>吉水县人民法院</w:t>
      </w:r>
    </w:p>
    <w:p w:rsidR="00260325" w:rsidRPr="00260325" w:rsidRDefault="00260325" w:rsidP="00260325">
      <w:pPr>
        <w:rPr>
          <w:rFonts w:ascii="方正小标宋简体" w:eastAsia="方正小标宋简体" w:hAnsi="Calibri" w:cs="Times New Roman" w:hint="eastAsia"/>
          <w:color w:val="FF0000"/>
          <w:spacing w:val="-20"/>
          <w:w w:val="66"/>
          <w:sz w:val="120"/>
          <w:szCs w:val="90"/>
        </w:rPr>
      </w:pPr>
      <w:r w:rsidRPr="00260325"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B165" wp14:editId="3251694D">
                <wp:simplePos x="0" y="0"/>
                <wp:positionH relativeFrom="column">
                  <wp:posOffset>-1905</wp:posOffset>
                </wp:positionH>
                <wp:positionV relativeFrom="paragraph">
                  <wp:posOffset>240030</wp:posOffset>
                </wp:positionV>
                <wp:extent cx="5579745" cy="1905"/>
                <wp:effectExtent l="0" t="19050" r="1905" b="361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745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8.9pt" to="439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" strokecolor="red" strokeweight="2.25pt"/>
            </w:pict>
          </mc:Fallback>
        </mc:AlternateContent>
      </w:r>
    </w:p>
    <w:p w:rsidR="00260325" w:rsidRPr="00260325" w:rsidRDefault="00260325" w:rsidP="00260325">
      <w:pPr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  <w:r w:rsidRPr="00260325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江西省吉水县人民法院选任破产</w:t>
      </w:r>
    </w:p>
    <w:p w:rsidR="00260325" w:rsidRPr="00260325" w:rsidRDefault="00260325" w:rsidP="00260325">
      <w:pPr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  <w:r w:rsidRPr="00260325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管理人评审办法</w:t>
      </w:r>
    </w:p>
    <w:p w:rsidR="00260325" w:rsidRPr="00260325" w:rsidRDefault="00260325" w:rsidP="00260325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本院各部门：</w:t>
      </w:r>
    </w:p>
    <w:p w:rsidR="00260325" w:rsidRPr="00260325" w:rsidRDefault="00260325" w:rsidP="00260325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 xml:space="preserve">    根据领导指示，现将</w:t>
      </w:r>
      <w:r>
        <w:rPr>
          <w:rFonts w:ascii="仿宋" w:eastAsia="仿宋" w:hAnsi="仿宋" w:cs="Times New Roman" w:hint="eastAsia"/>
          <w:sz w:val="32"/>
          <w:szCs w:val="32"/>
        </w:rPr>
        <w:t>《江西省吉水县人民法院选任破产管理人评审办法</w:t>
      </w:r>
      <w:r w:rsidRPr="00260325">
        <w:rPr>
          <w:rFonts w:ascii="仿宋" w:eastAsia="仿宋" w:hAnsi="仿宋" w:cs="Times New Roman" w:hint="eastAsia"/>
          <w:sz w:val="32"/>
          <w:szCs w:val="32"/>
        </w:rPr>
        <w:t>》文件转发大家，请大家贯彻落实学习。</w:t>
      </w:r>
    </w:p>
    <w:p w:rsidR="00260325" w:rsidRPr="00260325" w:rsidRDefault="00260325" w:rsidP="00260325">
      <w:pPr>
        <w:spacing w:line="48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Calibri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alt="E16482820170429100250" style="position:absolute;left:0;text-align:left;margin-left:300pt;margin-top:4.25pt;width:127.5pt;height:127.5pt;z-index:251664384;mso-width-relative:page;mso-height-relative:page" o:preferrelative="t" filled="f" stroked="f">
            <v:imagedata r:id="rId7" o:title=""/>
          </v:shape>
        </w:pict>
      </w:r>
      <w:r w:rsidRPr="00260325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</w:t>
      </w:r>
    </w:p>
    <w:p w:rsidR="00260325" w:rsidRPr="00260325" w:rsidRDefault="00260325" w:rsidP="00260325">
      <w:pPr>
        <w:spacing w:line="480" w:lineRule="exact"/>
        <w:jc w:val="right"/>
        <w:rPr>
          <w:rFonts w:ascii="仿宋" w:eastAsia="仿宋" w:hAnsi="仿宋" w:cs="Calibri"/>
          <w:sz w:val="32"/>
          <w:szCs w:val="32"/>
        </w:rPr>
      </w:pPr>
    </w:p>
    <w:p w:rsidR="00260325" w:rsidRPr="00260325" w:rsidRDefault="00260325" w:rsidP="00260325">
      <w:pPr>
        <w:spacing w:line="480" w:lineRule="exact"/>
        <w:jc w:val="right"/>
        <w:rPr>
          <w:rFonts w:ascii="仿宋" w:eastAsia="仿宋" w:hAnsi="仿宋" w:cs="Calibri"/>
          <w:sz w:val="32"/>
          <w:szCs w:val="32"/>
        </w:rPr>
      </w:pPr>
      <w:r w:rsidRPr="00260325">
        <w:rPr>
          <w:rFonts w:ascii="仿宋" w:eastAsia="仿宋" w:hAnsi="仿宋" w:cs="Calibri" w:hint="eastAsia"/>
          <w:sz w:val="32"/>
          <w:szCs w:val="32"/>
        </w:rPr>
        <w:t xml:space="preserve">吉水县人民法院                                                  </w:t>
      </w:r>
    </w:p>
    <w:p w:rsidR="00260325" w:rsidRPr="00260325" w:rsidRDefault="00260325" w:rsidP="00260325">
      <w:pPr>
        <w:spacing w:line="480" w:lineRule="exact"/>
        <w:jc w:val="righ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2023</w:t>
      </w:r>
      <w:r w:rsidRPr="00260325">
        <w:rPr>
          <w:rFonts w:ascii="仿宋" w:eastAsia="仿宋" w:hAnsi="仿宋" w:cs="Calibri" w:hint="eastAsia"/>
          <w:sz w:val="32"/>
          <w:szCs w:val="32"/>
        </w:rPr>
        <w:t>年</w:t>
      </w:r>
      <w:r>
        <w:rPr>
          <w:rFonts w:ascii="仿宋" w:eastAsia="仿宋" w:hAnsi="仿宋" w:cs="Calibri" w:hint="eastAsia"/>
          <w:sz w:val="32"/>
          <w:szCs w:val="32"/>
        </w:rPr>
        <w:t>1</w:t>
      </w:r>
      <w:r w:rsidRPr="00260325">
        <w:rPr>
          <w:rFonts w:ascii="仿宋" w:eastAsia="仿宋" w:hAnsi="仿宋" w:cs="Calibri" w:hint="eastAsia"/>
          <w:sz w:val="32"/>
          <w:szCs w:val="32"/>
        </w:rPr>
        <w:t>月5日</w:t>
      </w:r>
    </w:p>
    <w:p w:rsidR="00260325" w:rsidRPr="00260325" w:rsidRDefault="00260325" w:rsidP="00260325">
      <w:pPr>
        <w:spacing w:line="480" w:lineRule="exact"/>
        <w:rPr>
          <w:rFonts w:ascii="仿宋" w:eastAsia="仿宋" w:hAnsi="仿宋" w:cs="Times New Roman"/>
        </w:rPr>
      </w:pPr>
    </w:p>
    <w:p w:rsidR="00260325" w:rsidRPr="00260325" w:rsidRDefault="00260325" w:rsidP="00260325">
      <w:pPr>
        <w:rPr>
          <w:rFonts w:ascii="仿宋" w:eastAsia="仿宋" w:hAnsi="仿宋" w:cs="Times New Roman"/>
        </w:rPr>
      </w:pPr>
    </w:p>
    <w:p w:rsidR="00260325" w:rsidRPr="00260325" w:rsidRDefault="00260325" w:rsidP="00260325">
      <w:pPr>
        <w:rPr>
          <w:rFonts w:ascii="仿宋" w:eastAsia="仿宋" w:hAnsi="仿宋" w:cs="Times New Roman"/>
        </w:rPr>
      </w:pPr>
    </w:p>
    <w:p w:rsidR="00260325" w:rsidRPr="00260325" w:rsidRDefault="00260325" w:rsidP="00260325">
      <w:pPr>
        <w:rPr>
          <w:rFonts w:ascii="仿宋" w:eastAsia="仿宋" w:hAnsi="仿宋" w:cs="Times New Roman"/>
        </w:rPr>
      </w:pPr>
    </w:p>
    <w:p w:rsidR="00260325" w:rsidRDefault="00260325" w:rsidP="00260325">
      <w:pPr>
        <w:spacing w:line="560" w:lineRule="exact"/>
        <w:rPr>
          <w:rFonts w:ascii="仿宋_GB2312" w:eastAsia="仿宋_GB2312" w:hAnsi="Calibri" w:cs="Times New Roman" w:hint="eastAsia"/>
          <w:sz w:val="28"/>
          <w:szCs w:val="28"/>
        </w:rPr>
      </w:pPr>
    </w:p>
    <w:p w:rsidR="00260325" w:rsidRDefault="00260325" w:rsidP="00260325">
      <w:pPr>
        <w:spacing w:line="560" w:lineRule="exact"/>
        <w:rPr>
          <w:rFonts w:ascii="仿宋_GB2312" w:eastAsia="仿宋_GB2312" w:hAnsi="Calibri" w:cs="Times New Roman" w:hint="eastAsia"/>
          <w:sz w:val="28"/>
          <w:szCs w:val="28"/>
        </w:rPr>
      </w:pPr>
    </w:p>
    <w:p w:rsidR="00260325" w:rsidRDefault="00260325" w:rsidP="00260325">
      <w:pPr>
        <w:spacing w:line="560" w:lineRule="exact"/>
        <w:rPr>
          <w:rFonts w:ascii="仿宋_GB2312" w:eastAsia="仿宋_GB2312" w:hAnsi="Calibri" w:cs="Times New Roman" w:hint="eastAsia"/>
          <w:sz w:val="28"/>
          <w:szCs w:val="28"/>
        </w:rPr>
      </w:pPr>
    </w:p>
    <w:p w:rsidR="00260325" w:rsidRPr="00260325" w:rsidRDefault="00260325" w:rsidP="00260325">
      <w:pPr>
        <w:spacing w:line="560" w:lineRule="exact"/>
        <w:rPr>
          <w:rFonts w:ascii="仿宋_GB2312" w:eastAsia="仿宋_GB2312" w:hAnsi="Calibri" w:cs="Times New Roman"/>
          <w:sz w:val="28"/>
          <w:szCs w:val="28"/>
        </w:rPr>
      </w:pPr>
    </w:p>
    <w:p w:rsidR="00260325" w:rsidRPr="00260325" w:rsidRDefault="00260325" w:rsidP="00260325">
      <w:pPr>
        <w:spacing w:line="560" w:lineRule="exact"/>
        <w:rPr>
          <w:rFonts w:ascii="方正小标宋简体" w:eastAsia="方正小标宋简体" w:hAnsi="Calibri" w:cs="Times New Roman"/>
          <w:color w:val="FF0000"/>
          <w:spacing w:val="-20"/>
          <w:w w:val="66"/>
          <w:sz w:val="120"/>
          <w:szCs w:val="90"/>
        </w:rPr>
      </w:pPr>
      <w:r w:rsidRPr="00260325"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03DDCC" wp14:editId="3E60D05F">
                <wp:simplePos x="0" y="0"/>
                <wp:positionH relativeFrom="column">
                  <wp:posOffset>0</wp:posOffset>
                </wp:positionH>
                <wp:positionV relativeFrom="paragraph">
                  <wp:posOffset>388619</wp:posOffset>
                </wp:positionV>
                <wp:extent cx="57150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0.6pt" to="45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dK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"/>
            </w:pict>
          </mc:Fallback>
        </mc:AlternateContent>
      </w:r>
      <w:r w:rsidRPr="00260325"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26B09E" wp14:editId="1E526AA7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4rLgIAADMEAAAOAAAAZHJzL2Uyb0RvYy54bWysU82O0zAQviPxDpbvbZLS7L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"/>
            </w:pict>
          </mc:Fallback>
        </mc:AlternateContent>
      </w:r>
      <w:r w:rsidRPr="00260325"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 w:rsidRPr="00260325"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D2468F" wp14:editId="4FE9B723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57150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J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LzOhmk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"/>
            </w:pict>
          </mc:Fallback>
        </mc:AlternateContent>
      </w:r>
      <w:r w:rsidRPr="00260325">
        <w:rPr>
          <w:rFonts w:ascii="仿宋_GB2312" w:eastAsia="仿宋_GB2312" w:hAnsi="Calibri" w:cs="Times New Roman" w:hint="eastAsia"/>
          <w:sz w:val="28"/>
          <w:szCs w:val="28"/>
        </w:rPr>
        <w:t>吉水县人民法院综合办公室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 2023</w:t>
      </w:r>
      <w:r w:rsidRPr="00260325">
        <w:rPr>
          <w:rFonts w:ascii="仿宋_GB2312" w:eastAsia="仿宋_GB2312" w:hAnsi="Calibri" w:cs="Times New Roman" w:hint="eastAsia"/>
          <w:sz w:val="28"/>
          <w:szCs w:val="28"/>
        </w:rPr>
        <w:t>年</w:t>
      </w:r>
      <w:r>
        <w:rPr>
          <w:rFonts w:ascii="仿宋_GB2312" w:eastAsia="仿宋_GB2312" w:hAnsi="Calibri" w:cs="Times New Roman" w:hint="eastAsia"/>
          <w:sz w:val="28"/>
          <w:szCs w:val="28"/>
        </w:rPr>
        <w:t>1</w:t>
      </w:r>
      <w:r w:rsidRPr="00260325">
        <w:rPr>
          <w:rFonts w:ascii="仿宋_GB2312" w:eastAsia="仿宋_GB2312" w:hAnsi="Calibri" w:cs="Times New Roman" w:hint="eastAsia"/>
          <w:sz w:val="28"/>
          <w:szCs w:val="28"/>
        </w:rPr>
        <w:t>月5日印发</w:t>
      </w:r>
    </w:p>
    <w:p w:rsidR="004836A5" w:rsidRPr="00260325" w:rsidRDefault="004836A5" w:rsidP="004D5024">
      <w:pPr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  <w:r w:rsidRPr="00260325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lastRenderedPageBreak/>
        <w:t>江西省</w:t>
      </w:r>
      <w:r w:rsidR="004D5024" w:rsidRPr="00260325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吉水县人民法院选任</w:t>
      </w:r>
      <w:r w:rsidRPr="00260325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破产</w:t>
      </w:r>
    </w:p>
    <w:p w:rsidR="004836A5" w:rsidRPr="00260325" w:rsidRDefault="004836A5" w:rsidP="004D5024">
      <w:pPr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  <w:r w:rsidRPr="00260325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管理人评审办法</w:t>
      </w:r>
    </w:p>
    <w:p w:rsidR="007A0EAF" w:rsidRDefault="007A0EAF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本院根据《最高人民法院关于审理企业破产案件指定管理人的规定》的相关规定，结合本院破产审判工作实践，制定</w:t>
      </w:r>
      <w:r w:rsidR="007A0EAF" w:rsidRPr="00260325">
        <w:rPr>
          <w:rFonts w:ascii="仿宋" w:eastAsia="仿宋" w:hAnsi="仿宋" w:cs="Times New Roman" w:hint="eastAsia"/>
          <w:sz w:val="32"/>
          <w:szCs w:val="32"/>
        </w:rPr>
        <w:t>选任破产</w:t>
      </w:r>
      <w:r w:rsidRPr="00260325">
        <w:rPr>
          <w:rFonts w:ascii="仿宋" w:eastAsia="仿宋" w:hAnsi="仿宋" w:cs="Times New Roman" w:hint="eastAsia"/>
          <w:sz w:val="32"/>
          <w:szCs w:val="32"/>
        </w:rPr>
        <w:t>管理人评审办法。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一、评审实施机构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1、设立</w:t>
      </w:r>
      <w:r w:rsidR="00FA378C" w:rsidRPr="00260325">
        <w:rPr>
          <w:rFonts w:ascii="仿宋" w:eastAsia="仿宋" w:hAnsi="仿宋" w:cs="Times New Roman" w:hint="eastAsia"/>
          <w:sz w:val="32"/>
          <w:szCs w:val="32"/>
        </w:rPr>
        <w:t>破产</w:t>
      </w:r>
      <w:r w:rsidRPr="00260325">
        <w:rPr>
          <w:rFonts w:ascii="仿宋" w:eastAsia="仿宋" w:hAnsi="仿宋" w:cs="Times New Roman" w:hint="eastAsia"/>
          <w:sz w:val="32"/>
          <w:szCs w:val="32"/>
        </w:rPr>
        <w:t>管理人评审委员会，由评审委员会负责对报名参与的中介机构进行评审工作。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评审委</w:t>
      </w:r>
      <w:r w:rsidR="00FA378C" w:rsidRPr="00260325">
        <w:rPr>
          <w:rFonts w:ascii="仿宋" w:eastAsia="仿宋" w:hAnsi="仿宋" w:cs="Times New Roman" w:hint="eastAsia"/>
          <w:sz w:val="32"/>
          <w:szCs w:val="32"/>
        </w:rPr>
        <w:t>员会根据本评审办法对全部报名资料进行评审，择优指定一家机构为破产管理人，另指定一家机构为</w:t>
      </w:r>
      <w:r w:rsidRPr="00260325">
        <w:rPr>
          <w:rFonts w:ascii="仿宋" w:eastAsia="仿宋" w:hAnsi="仿宋" w:cs="Times New Roman" w:hint="eastAsia"/>
          <w:sz w:val="32"/>
          <w:szCs w:val="32"/>
        </w:rPr>
        <w:t>备选破产管理人。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2、评审委员会的组成</w:t>
      </w:r>
    </w:p>
    <w:p w:rsidR="004836A5" w:rsidRPr="00260325" w:rsidRDefault="00FA378C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根据本案实际情况及工作特点，从本院分管破产审判院领导、破产案件合议庭组成人员、审管办、立案庭、</w:t>
      </w:r>
      <w:r w:rsidR="00B964D3" w:rsidRPr="00260325">
        <w:rPr>
          <w:rFonts w:ascii="仿宋" w:eastAsia="仿宋" w:hAnsi="仿宋" w:cs="Times New Roman" w:hint="eastAsia"/>
          <w:sz w:val="32"/>
          <w:szCs w:val="32"/>
        </w:rPr>
        <w:t>督察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t>室抽调专人组成，评委会人数确定为</w:t>
      </w:r>
      <w:r w:rsidRPr="00260325">
        <w:rPr>
          <w:rFonts w:ascii="仿宋" w:eastAsia="仿宋" w:hAnsi="仿宋" w:cs="Times New Roman" w:hint="eastAsia"/>
          <w:sz w:val="32"/>
          <w:szCs w:val="32"/>
        </w:rPr>
        <w:t>7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t>人。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二、评审原则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评审委员会根据如下评审原则对申报机构提交的资料进行评审：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1、依法、公正、公开原则；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2、平等保护各方利益原则；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3、破产工作方案具有可执行性、经济性原则。</w:t>
      </w:r>
    </w:p>
    <w:p w:rsidR="00F46474" w:rsidRPr="00260325" w:rsidRDefault="004836A5" w:rsidP="00F46474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三、评审标准</w:t>
      </w:r>
    </w:p>
    <w:p w:rsidR="004836A5" w:rsidRPr="00260325" w:rsidRDefault="00FA03F0" w:rsidP="00F46474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对管理人的评定实行评分制，满分为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t>100</w:t>
      </w:r>
      <w:r w:rsidR="00B964D3" w:rsidRPr="00260325">
        <w:rPr>
          <w:rFonts w:ascii="仿宋" w:eastAsia="仿宋" w:hAnsi="仿宋" w:cs="Times New Roman" w:hint="eastAsia"/>
          <w:sz w:val="32"/>
          <w:szCs w:val="32"/>
        </w:rPr>
        <w:t>分。评审委员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t>会可采用书面审查、询问等方式审查申报人的具体情况，在此基础上，每位评审委员会委员应在评审中结合评分标准，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lastRenderedPageBreak/>
        <w:t>评定各申报人单项及综合分数。具体评分标准如下：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（一）机构规模（20分）</w:t>
      </w:r>
    </w:p>
    <w:p w:rsidR="00B94BDF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1．从业人员。拥有10名具有执业资格的律师、会计师等，</w:t>
      </w:r>
      <w:proofErr w:type="gramStart"/>
      <w:r w:rsidRPr="00260325">
        <w:rPr>
          <w:rFonts w:ascii="仿宋" w:eastAsia="仿宋" w:hAnsi="仿宋" w:cs="Times New Roman" w:hint="eastAsia"/>
          <w:sz w:val="32"/>
          <w:szCs w:val="32"/>
        </w:rPr>
        <w:t>计基础分</w:t>
      </w:r>
      <w:proofErr w:type="gramEnd"/>
      <w:r w:rsidRPr="00260325">
        <w:rPr>
          <w:rFonts w:ascii="仿宋" w:eastAsia="仿宋" w:hAnsi="仿宋" w:cs="Times New Roman" w:hint="eastAsia"/>
          <w:sz w:val="32"/>
          <w:szCs w:val="32"/>
        </w:rPr>
        <w:t>5分；超过10名的，每增加1名加0.5分，</w:t>
      </w:r>
    </w:p>
    <w:p w:rsidR="004836A5" w:rsidRPr="00260325" w:rsidRDefault="004836A5" w:rsidP="00B57DFA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但加分最多不超过5分；少于10名的，该项不计分。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2．办公场所。以租赁房屋作为办公场所的，</w:t>
      </w:r>
      <w:proofErr w:type="gramStart"/>
      <w:r w:rsidRPr="00260325">
        <w:rPr>
          <w:rFonts w:ascii="仿宋" w:eastAsia="仿宋" w:hAnsi="仿宋" w:cs="Times New Roman" w:hint="eastAsia"/>
          <w:sz w:val="32"/>
          <w:szCs w:val="32"/>
        </w:rPr>
        <w:t>计基础分</w:t>
      </w:r>
      <w:proofErr w:type="gramEnd"/>
      <w:r w:rsidRPr="00260325">
        <w:rPr>
          <w:rFonts w:ascii="仿宋" w:eastAsia="仿宋" w:hAnsi="仿宋" w:cs="Times New Roman" w:hint="eastAsia"/>
          <w:sz w:val="32"/>
          <w:szCs w:val="32"/>
        </w:rPr>
        <w:t>5分。以自购房屋为办公场所且固定资产价值在100万元以下的，</w:t>
      </w:r>
      <w:proofErr w:type="gramStart"/>
      <w:r w:rsidRPr="00260325">
        <w:rPr>
          <w:rFonts w:ascii="仿宋" w:eastAsia="仿宋" w:hAnsi="仿宋" w:cs="Times New Roman" w:hint="eastAsia"/>
          <w:sz w:val="32"/>
          <w:szCs w:val="32"/>
        </w:rPr>
        <w:t>计基础分</w:t>
      </w:r>
      <w:proofErr w:type="gramEnd"/>
      <w:r w:rsidRPr="00260325">
        <w:rPr>
          <w:rFonts w:ascii="仿宋" w:eastAsia="仿宋" w:hAnsi="仿宋" w:cs="Times New Roman" w:hint="eastAsia"/>
          <w:sz w:val="32"/>
          <w:szCs w:val="32"/>
        </w:rPr>
        <w:t>5分；超过100万元的，每增加100万元加1分，但加分最多不超过5分。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（二）工作方案（30分）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基础分为15分。工作方案包含负责人员、具体操作方法、预计完成期限等，方案内容更细致、完备的，可逐项酌情加分，但加分最多不超过15分。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（三）报酬方案</w:t>
      </w:r>
      <w:r w:rsidR="00B964D3" w:rsidRPr="00260325">
        <w:rPr>
          <w:rFonts w:ascii="仿宋" w:eastAsia="仿宋" w:hAnsi="仿宋" w:cs="Times New Roman" w:hint="eastAsia"/>
          <w:sz w:val="32"/>
          <w:szCs w:val="32"/>
        </w:rPr>
        <w:t>（20分）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基础分为15分。报价在最高人民法院规定的幅度内的</w:t>
      </w:r>
      <w:proofErr w:type="gramStart"/>
      <w:r w:rsidRPr="00260325">
        <w:rPr>
          <w:rFonts w:ascii="仿宋" w:eastAsia="仿宋" w:hAnsi="仿宋" w:cs="Times New Roman" w:hint="eastAsia"/>
          <w:sz w:val="32"/>
          <w:szCs w:val="32"/>
        </w:rPr>
        <w:t>计基础分</w:t>
      </w:r>
      <w:proofErr w:type="gramEnd"/>
      <w:r w:rsidRPr="00260325">
        <w:rPr>
          <w:rFonts w:ascii="仿宋" w:eastAsia="仿宋" w:hAnsi="仿宋" w:cs="Times New Roman" w:hint="eastAsia"/>
          <w:sz w:val="32"/>
          <w:szCs w:val="32"/>
        </w:rPr>
        <w:t>15分；报价每低于最高人民法院规定的幅度2％的加0.5分（如债务人最终清偿的财产价值总额为100万元，根据最高院的规定，管理人报酬在12万元以下确定，如申报人在12万元基础上每降低2％，加0.5分），但加分最多不超过15分；高于最高人民法院规定的，该项不计分。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（四）经验业绩</w:t>
      </w:r>
      <w:r w:rsidR="00B964D3" w:rsidRPr="00260325">
        <w:rPr>
          <w:rFonts w:ascii="仿宋" w:eastAsia="仿宋" w:hAnsi="仿宋" w:cs="Times New Roman" w:hint="eastAsia"/>
          <w:sz w:val="32"/>
          <w:szCs w:val="32"/>
        </w:rPr>
        <w:t>（30分）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基础分10</w:t>
      </w:r>
      <w:r w:rsidR="009C564A" w:rsidRPr="00260325">
        <w:rPr>
          <w:rFonts w:ascii="仿宋" w:eastAsia="仿宋" w:hAnsi="仿宋" w:cs="Times New Roman" w:hint="eastAsia"/>
          <w:sz w:val="32"/>
          <w:szCs w:val="32"/>
        </w:rPr>
        <w:t>分。从事破产管理工作</w:t>
      </w:r>
      <w:r w:rsidRPr="00260325">
        <w:rPr>
          <w:rFonts w:ascii="仿宋" w:eastAsia="仿宋" w:hAnsi="仿宋" w:cs="Times New Roman" w:hint="eastAsia"/>
          <w:sz w:val="32"/>
          <w:szCs w:val="32"/>
        </w:rPr>
        <w:t>年</w:t>
      </w:r>
      <w:r w:rsidR="009C564A" w:rsidRPr="00260325">
        <w:rPr>
          <w:rFonts w:ascii="仿宋" w:eastAsia="仿宋" w:hAnsi="仿宋" w:cs="Times New Roman" w:hint="eastAsia"/>
          <w:sz w:val="32"/>
          <w:szCs w:val="32"/>
        </w:rPr>
        <w:t>限或已承办破产案件、公司强制清算案件数量与招募公告一致的，得10</w:t>
      </w:r>
      <w:r w:rsidRPr="00260325">
        <w:rPr>
          <w:rFonts w:ascii="仿宋" w:eastAsia="仿宋" w:hAnsi="仿宋" w:cs="Times New Roman" w:hint="eastAsia"/>
          <w:sz w:val="32"/>
          <w:szCs w:val="32"/>
        </w:rPr>
        <w:t>分；在此基础上每增加一件的，再加1分，但加分最多不超过10分</w:t>
      </w:r>
      <w:r w:rsidR="009C564A" w:rsidRPr="00260325">
        <w:rPr>
          <w:rFonts w:ascii="仿宋" w:eastAsia="仿宋" w:hAnsi="仿宋" w:cs="Times New Roman" w:hint="eastAsia"/>
          <w:sz w:val="32"/>
          <w:szCs w:val="32"/>
        </w:rPr>
        <w:t>，年限增加但没有增加承办破产案件、公司强制清算案件数量的不加分</w:t>
      </w:r>
      <w:r w:rsidRPr="0026032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4836A5" w:rsidRPr="00260325" w:rsidRDefault="004836A5" w:rsidP="009C564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前述各项评分总分相同的，所内专职律师持有注册会计师资格证书人数多的优先评定。</w:t>
      </w:r>
    </w:p>
    <w:p w:rsidR="00055BAE" w:rsidRPr="00260325" w:rsidRDefault="00320C73" w:rsidP="00B57DFA">
      <w:pPr>
        <w:spacing w:line="48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四、选任</w:t>
      </w:r>
      <w:r w:rsidR="00055BAE" w:rsidRPr="00260325">
        <w:rPr>
          <w:rFonts w:ascii="仿宋" w:eastAsia="仿宋" w:hAnsi="仿宋" w:cs="Times New Roman" w:hint="eastAsia"/>
          <w:sz w:val="32"/>
          <w:szCs w:val="32"/>
        </w:rPr>
        <w:t>流程</w:t>
      </w:r>
    </w:p>
    <w:p w:rsidR="00C07F57" w:rsidRPr="00260325" w:rsidRDefault="00C07F57" w:rsidP="00B57DFA">
      <w:pPr>
        <w:spacing w:line="48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lastRenderedPageBreak/>
        <w:t>1、</w:t>
      </w:r>
      <w:r w:rsidR="00F46474" w:rsidRPr="00260325">
        <w:rPr>
          <w:rFonts w:ascii="仿宋" w:eastAsia="仿宋" w:hAnsi="仿宋" w:cs="Times New Roman" w:hint="eastAsia"/>
          <w:sz w:val="32"/>
          <w:szCs w:val="32"/>
        </w:rPr>
        <w:t>破产管理人的选任</w:t>
      </w:r>
      <w:r w:rsidRPr="00260325">
        <w:rPr>
          <w:rFonts w:ascii="仿宋" w:eastAsia="仿宋" w:hAnsi="仿宋" w:cs="Times New Roman" w:hint="eastAsia"/>
          <w:sz w:val="32"/>
          <w:szCs w:val="32"/>
        </w:rPr>
        <w:t>一般先由上级法院轮候指定，上级法院</w:t>
      </w:r>
      <w:r w:rsidR="00CE7E66" w:rsidRPr="00260325">
        <w:rPr>
          <w:rFonts w:ascii="仿宋" w:eastAsia="仿宋" w:hAnsi="仿宋" w:cs="Times New Roman" w:hint="eastAsia"/>
          <w:sz w:val="32"/>
          <w:szCs w:val="32"/>
        </w:rPr>
        <w:t>明确</w:t>
      </w:r>
      <w:r w:rsidRPr="00260325">
        <w:rPr>
          <w:rFonts w:ascii="仿宋" w:eastAsia="仿宋" w:hAnsi="仿宋" w:cs="Times New Roman" w:hint="eastAsia"/>
          <w:sz w:val="32"/>
          <w:szCs w:val="32"/>
        </w:rPr>
        <w:t>不指定破产管理人</w:t>
      </w:r>
      <w:r w:rsidR="00CE7E66" w:rsidRPr="00260325">
        <w:rPr>
          <w:rFonts w:ascii="仿宋" w:eastAsia="仿宋" w:hAnsi="仿宋" w:cs="Times New Roman" w:hint="eastAsia"/>
          <w:sz w:val="32"/>
          <w:szCs w:val="32"/>
        </w:rPr>
        <w:t>时，则通过本院招募管理人的方式选任破产管理人</w:t>
      </w:r>
      <w:r w:rsidR="007E7AF0" w:rsidRPr="00260325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F02A14" w:rsidRPr="00260325" w:rsidRDefault="00C07F57" w:rsidP="00F02A14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2、</w:t>
      </w:r>
      <w:r w:rsidR="00CE7E66" w:rsidRPr="00260325">
        <w:rPr>
          <w:rFonts w:ascii="仿宋" w:eastAsia="仿宋" w:hAnsi="仿宋" w:cs="Times New Roman" w:hint="eastAsia"/>
          <w:sz w:val="32"/>
          <w:szCs w:val="32"/>
        </w:rPr>
        <w:t>本院</w:t>
      </w:r>
      <w:r w:rsidRPr="00260325">
        <w:rPr>
          <w:rFonts w:ascii="仿宋" w:eastAsia="仿宋" w:hAnsi="仿宋" w:cs="Times New Roman" w:hint="eastAsia"/>
          <w:sz w:val="32"/>
          <w:szCs w:val="32"/>
        </w:rPr>
        <w:t>招募破产管理人先向社会发布公告，</w:t>
      </w:r>
      <w:proofErr w:type="gramStart"/>
      <w:r w:rsidR="00F53C00" w:rsidRPr="00260325">
        <w:rPr>
          <w:rFonts w:ascii="仿宋" w:eastAsia="仿宋" w:hAnsi="仿宋" w:cs="Times New Roman" w:hint="eastAsia"/>
          <w:sz w:val="32"/>
          <w:szCs w:val="32"/>
        </w:rPr>
        <w:t>邀请编入</w:t>
      </w:r>
      <w:r w:rsidR="00610E89" w:rsidRPr="00260325">
        <w:rPr>
          <w:rFonts w:ascii="仿宋" w:eastAsia="仿宋" w:hAnsi="仿宋" w:cs="Times New Roman" w:hint="eastAsia"/>
          <w:sz w:val="32"/>
          <w:szCs w:val="32"/>
        </w:rPr>
        <w:t>邀请编入</w:t>
      </w:r>
      <w:proofErr w:type="gramEnd"/>
      <w:r w:rsidR="00610E89" w:rsidRPr="00260325">
        <w:rPr>
          <w:rFonts w:ascii="仿宋" w:eastAsia="仿宋" w:hAnsi="仿宋" w:cs="Times New Roman" w:hint="eastAsia"/>
          <w:sz w:val="32"/>
          <w:szCs w:val="32"/>
        </w:rPr>
        <w:t>江西省企业破产管理人名册中的中介机构报名参与竞争</w:t>
      </w:r>
      <w:r w:rsidR="00CE7E66" w:rsidRPr="00260325">
        <w:rPr>
          <w:rFonts w:ascii="仿宋" w:eastAsia="仿宋" w:hAnsi="仿宋" w:cs="Times New Roman" w:hint="eastAsia"/>
          <w:sz w:val="32"/>
          <w:szCs w:val="32"/>
        </w:rPr>
        <w:t>，</w:t>
      </w:r>
      <w:r w:rsidR="00F53C00" w:rsidRPr="00260325">
        <w:rPr>
          <w:rFonts w:ascii="仿宋" w:eastAsia="仿宋" w:hAnsi="仿宋" w:cs="Times New Roman" w:hint="eastAsia"/>
          <w:sz w:val="32"/>
          <w:szCs w:val="32"/>
        </w:rPr>
        <w:t>参与竞争的社会中介机构不得少于三家。本院根据本办法组成专门的评审委员会。评审委员会应当结合案件的特点，综合</w:t>
      </w:r>
      <w:proofErr w:type="gramStart"/>
      <w:r w:rsidR="00F53C00" w:rsidRPr="00260325">
        <w:rPr>
          <w:rFonts w:ascii="仿宋" w:eastAsia="仿宋" w:hAnsi="仿宋" w:cs="Times New Roman" w:hint="eastAsia"/>
          <w:sz w:val="32"/>
          <w:szCs w:val="32"/>
        </w:rPr>
        <w:t>考量</w:t>
      </w:r>
      <w:proofErr w:type="gramEnd"/>
      <w:r w:rsidR="00F53C00" w:rsidRPr="00260325">
        <w:rPr>
          <w:rFonts w:ascii="仿宋" w:eastAsia="仿宋" w:hAnsi="仿宋" w:cs="Times New Roman" w:hint="eastAsia"/>
          <w:sz w:val="32"/>
          <w:szCs w:val="32"/>
        </w:rPr>
        <w:t>社会中介机构的专业水准、经验、机构规模、初步报价等因素，</w:t>
      </w:r>
      <w:r w:rsidR="00F02A14" w:rsidRPr="00260325">
        <w:rPr>
          <w:rFonts w:ascii="仿宋" w:eastAsia="仿宋" w:hAnsi="仿宋" w:cs="Times New Roman" w:hint="eastAsia"/>
          <w:sz w:val="32"/>
          <w:szCs w:val="32"/>
        </w:rPr>
        <w:t>根据上述规定的评审标准，</w:t>
      </w:r>
      <w:r w:rsidR="001F2403" w:rsidRPr="00260325">
        <w:rPr>
          <w:rFonts w:ascii="仿宋" w:eastAsia="仿宋" w:hAnsi="仿宋" w:cs="Times New Roman" w:hint="eastAsia"/>
          <w:sz w:val="32"/>
          <w:szCs w:val="32"/>
        </w:rPr>
        <w:t>召开评审会议，</w:t>
      </w:r>
      <w:r w:rsidR="00D80BA2" w:rsidRPr="00260325">
        <w:rPr>
          <w:rFonts w:ascii="仿宋" w:eastAsia="仿宋" w:hAnsi="仿宋" w:cs="Times New Roman" w:hint="eastAsia"/>
          <w:sz w:val="32"/>
          <w:szCs w:val="32"/>
        </w:rPr>
        <w:t>通过</w:t>
      </w:r>
      <w:r w:rsidR="00410B5E" w:rsidRPr="00260325">
        <w:rPr>
          <w:rFonts w:ascii="仿宋" w:eastAsia="仿宋" w:hAnsi="仿宋" w:cs="Times New Roman" w:hint="eastAsia"/>
          <w:sz w:val="32"/>
          <w:szCs w:val="32"/>
        </w:rPr>
        <w:t>不计名</w:t>
      </w:r>
      <w:r w:rsidR="00D80BA2" w:rsidRPr="00260325">
        <w:rPr>
          <w:rFonts w:ascii="仿宋" w:eastAsia="仿宋" w:hAnsi="仿宋" w:cs="Times New Roman" w:hint="eastAsia"/>
          <w:sz w:val="32"/>
          <w:szCs w:val="32"/>
        </w:rPr>
        <w:t>填写破产管理人</w:t>
      </w:r>
      <w:r w:rsidR="00F46474" w:rsidRPr="00260325">
        <w:rPr>
          <w:rFonts w:ascii="仿宋" w:eastAsia="仿宋" w:hAnsi="仿宋" w:cs="Times New Roman" w:hint="eastAsia"/>
          <w:sz w:val="32"/>
          <w:szCs w:val="32"/>
        </w:rPr>
        <w:t>选任</w:t>
      </w:r>
      <w:r w:rsidR="00D80BA2" w:rsidRPr="00260325">
        <w:rPr>
          <w:rFonts w:ascii="仿宋" w:eastAsia="仿宋" w:hAnsi="仿宋" w:cs="Times New Roman" w:hint="eastAsia"/>
          <w:sz w:val="32"/>
          <w:szCs w:val="32"/>
        </w:rPr>
        <w:t>评分表，</w:t>
      </w:r>
      <w:r w:rsidR="00F02A14" w:rsidRPr="00260325">
        <w:rPr>
          <w:rFonts w:ascii="仿宋" w:eastAsia="仿宋" w:hAnsi="仿宋" w:cs="Times New Roman" w:hint="eastAsia"/>
          <w:sz w:val="32"/>
          <w:szCs w:val="32"/>
        </w:rPr>
        <w:t>进行客观公正的打分。</w:t>
      </w:r>
      <w:r w:rsidR="001F2403" w:rsidRPr="00260325">
        <w:rPr>
          <w:rFonts w:ascii="仿宋" w:eastAsia="仿宋" w:hAnsi="仿宋" w:cs="Times New Roman" w:hint="eastAsia"/>
          <w:sz w:val="32"/>
          <w:szCs w:val="32"/>
        </w:rPr>
        <w:t>评</w:t>
      </w:r>
      <w:r w:rsidR="00A1217E" w:rsidRPr="00260325">
        <w:rPr>
          <w:rFonts w:ascii="仿宋" w:eastAsia="仿宋" w:hAnsi="仿宋" w:cs="Times New Roman" w:hint="eastAsia"/>
          <w:sz w:val="32"/>
          <w:szCs w:val="32"/>
        </w:rPr>
        <w:t>审会议要作好会议记录，会议记录及其他评审会议资料要收入破产案件</w:t>
      </w:r>
      <w:r w:rsidR="001F2403" w:rsidRPr="00260325">
        <w:rPr>
          <w:rFonts w:ascii="仿宋" w:eastAsia="仿宋" w:hAnsi="仿宋" w:cs="Times New Roman" w:hint="eastAsia"/>
          <w:sz w:val="32"/>
          <w:szCs w:val="32"/>
        </w:rPr>
        <w:t>卷</w:t>
      </w:r>
      <w:r w:rsidR="00F8701A" w:rsidRPr="00260325">
        <w:rPr>
          <w:rFonts w:ascii="仿宋" w:eastAsia="仿宋" w:hAnsi="仿宋" w:cs="Times New Roman" w:hint="eastAsia"/>
          <w:sz w:val="32"/>
          <w:szCs w:val="32"/>
        </w:rPr>
        <w:t>宗</w:t>
      </w:r>
      <w:r w:rsidR="00FC1C33" w:rsidRPr="00260325">
        <w:rPr>
          <w:rFonts w:ascii="仿宋" w:eastAsia="仿宋" w:hAnsi="仿宋" w:cs="Times New Roman" w:hint="eastAsia"/>
          <w:sz w:val="32"/>
          <w:szCs w:val="32"/>
        </w:rPr>
        <w:t>副卷；</w:t>
      </w:r>
    </w:p>
    <w:p w:rsidR="00410B5E" w:rsidRPr="00260325" w:rsidRDefault="00F02A14" w:rsidP="00410B5E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3、评审委员会成员</w:t>
      </w:r>
      <w:r w:rsidR="00C7630F" w:rsidRPr="00260325">
        <w:rPr>
          <w:rFonts w:ascii="仿宋" w:eastAsia="仿宋" w:hAnsi="仿宋" w:cs="Times New Roman" w:hint="eastAsia"/>
          <w:sz w:val="32"/>
          <w:szCs w:val="32"/>
        </w:rPr>
        <w:t>对各参与竞争的社会中介机构</w:t>
      </w:r>
      <w:r w:rsidRPr="00260325">
        <w:rPr>
          <w:rFonts w:ascii="仿宋" w:eastAsia="仿宋" w:hAnsi="仿宋" w:cs="Times New Roman" w:hint="eastAsia"/>
          <w:sz w:val="32"/>
          <w:szCs w:val="32"/>
        </w:rPr>
        <w:t>打分后，</w:t>
      </w:r>
      <w:r w:rsidR="00C7630F" w:rsidRPr="00260325">
        <w:rPr>
          <w:rFonts w:ascii="仿宋" w:eastAsia="仿宋" w:hAnsi="仿宋" w:cs="Times New Roman" w:hint="eastAsia"/>
          <w:sz w:val="32"/>
          <w:szCs w:val="32"/>
        </w:rPr>
        <w:t>按</w:t>
      </w:r>
      <w:r w:rsidR="001F2403" w:rsidRPr="00260325">
        <w:rPr>
          <w:rFonts w:ascii="仿宋" w:eastAsia="仿宋" w:hAnsi="仿宋" w:cs="Times New Roman" w:hint="eastAsia"/>
          <w:sz w:val="32"/>
          <w:szCs w:val="32"/>
        </w:rPr>
        <w:t>如下原则计算最终得分，即</w:t>
      </w:r>
      <w:r w:rsidRPr="00260325">
        <w:rPr>
          <w:rFonts w:ascii="仿宋" w:eastAsia="仿宋" w:hAnsi="仿宋" w:cs="Times New Roman" w:hint="eastAsia"/>
          <w:sz w:val="32"/>
          <w:szCs w:val="32"/>
        </w:rPr>
        <w:t>去掉一个最高分，去掉</w:t>
      </w:r>
      <w:r w:rsidR="00410B5E" w:rsidRPr="00260325">
        <w:rPr>
          <w:rFonts w:ascii="仿宋" w:eastAsia="仿宋" w:hAnsi="仿宋" w:cs="Times New Roman" w:hint="eastAsia"/>
          <w:sz w:val="32"/>
          <w:szCs w:val="32"/>
        </w:rPr>
        <w:t>一个最低分，取参加评审的其余评审委员会成员的分数相加的总和，除以相应评审委员会成员的人数，得出平均得分数</w:t>
      </w:r>
      <w:r w:rsidR="001F2403" w:rsidRPr="00260325">
        <w:rPr>
          <w:rFonts w:ascii="仿宋" w:eastAsia="仿宋" w:hAnsi="仿宋" w:cs="Times New Roman" w:hint="eastAsia"/>
          <w:sz w:val="32"/>
          <w:szCs w:val="32"/>
        </w:rPr>
        <w:t>为该</w:t>
      </w:r>
      <w:r w:rsidR="00C7630F" w:rsidRPr="00260325">
        <w:rPr>
          <w:rFonts w:ascii="仿宋" w:eastAsia="仿宋" w:hAnsi="仿宋" w:cs="Times New Roman" w:hint="eastAsia"/>
          <w:sz w:val="32"/>
          <w:szCs w:val="32"/>
        </w:rPr>
        <w:t>参与竞争的社会中介机构的最终得分</w:t>
      </w:r>
      <w:r w:rsidR="00410B5E" w:rsidRPr="00260325">
        <w:rPr>
          <w:rFonts w:ascii="仿宋" w:eastAsia="仿宋" w:hAnsi="仿宋" w:cs="Times New Roman" w:hint="eastAsia"/>
          <w:sz w:val="32"/>
          <w:szCs w:val="32"/>
        </w:rPr>
        <w:t>。</w:t>
      </w:r>
      <w:r w:rsidR="00E41900" w:rsidRPr="00260325">
        <w:rPr>
          <w:rFonts w:ascii="仿宋" w:eastAsia="仿宋" w:hAnsi="仿宋" w:cs="Times New Roman" w:hint="eastAsia"/>
          <w:sz w:val="32"/>
          <w:szCs w:val="32"/>
        </w:rPr>
        <w:t>再将</w:t>
      </w:r>
      <w:r w:rsidR="00410B5E" w:rsidRPr="00260325">
        <w:rPr>
          <w:rFonts w:ascii="仿宋" w:eastAsia="仿宋" w:hAnsi="仿宋" w:cs="Times New Roman" w:hint="eastAsia"/>
          <w:sz w:val="32"/>
          <w:szCs w:val="32"/>
        </w:rPr>
        <w:t>从得分由高到低排序的第一、第二名</w:t>
      </w:r>
      <w:r w:rsidR="00C7630F" w:rsidRPr="00260325">
        <w:rPr>
          <w:rFonts w:ascii="仿宋" w:eastAsia="仿宋" w:hAnsi="仿宋" w:cs="Times New Roman" w:hint="eastAsia"/>
          <w:sz w:val="32"/>
          <w:szCs w:val="32"/>
        </w:rPr>
        <w:t>参与竞争</w:t>
      </w:r>
      <w:r w:rsidR="00E41900" w:rsidRPr="00260325">
        <w:rPr>
          <w:rFonts w:ascii="仿宋" w:eastAsia="仿宋" w:hAnsi="仿宋" w:cs="Times New Roman" w:hint="eastAsia"/>
          <w:sz w:val="32"/>
          <w:szCs w:val="32"/>
        </w:rPr>
        <w:t>的社会中介机构中确定</w:t>
      </w:r>
      <w:r w:rsidR="00410B5E" w:rsidRPr="00260325">
        <w:rPr>
          <w:rFonts w:ascii="仿宋" w:eastAsia="仿宋" w:hAnsi="仿宋" w:cs="Times New Roman" w:hint="eastAsia"/>
          <w:sz w:val="32"/>
          <w:szCs w:val="32"/>
        </w:rPr>
        <w:t>两家</w:t>
      </w:r>
      <w:r w:rsidR="00E41900" w:rsidRPr="00260325">
        <w:rPr>
          <w:rFonts w:ascii="仿宋" w:eastAsia="仿宋" w:hAnsi="仿宋" w:cs="Times New Roman" w:hint="eastAsia"/>
          <w:sz w:val="32"/>
          <w:szCs w:val="32"/>
        </w:rPr>
        <w:t>为入选对象</w:t>
      </w:r>
      <w:r w:rsidR="00FC1C33" w:rsidRPr="00260325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613160" w:rsidRPr="00260325" w:rsidRDefault="00E41900" w:rsidP="00A1217E">
      <w:pPr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4、破产案件管理人的最后确定</w:t>
      </w:r>
      <w:r w:rsidR="00C7630F" w:rsidRPr="00260325">
        <w:rPr>
          <w:rFonts w:ascii="仿宋" w:eastAsia="仿宋" w:hAnsi="仿宋" w:cs="Times New Roman" w:hint="eastAsia"/>
          <w:sz w:val="32"/>
          <w:szCs w:val="32"/>
        </w:rPr>
        <w:t>，</w:t>
      </w:r>
      <w:r w:rsidR="002B54A9" w:rsidRPr="00260325">
        <w:rPr>
          <w:rFonts w:ascii="仿宋" w:eastAsia="仿宋" w:hAnsi="仿宋" w:cs="Times New Roman" w:hint="eastAsia"/>
          <w:sz w:val="32"/>
          <w:szCs w:val="32"/>
        </w:rPr>
        <w:t>由破产案件的债权人</w:t>
      </w:r>
      <w:r w:rsidRPr="00260325">
        <w:rPr>
          <w:rFonts w:ascii="仿宋" w:eastAsia="仿宋" w:hAnsi="仿宋" w:cs="Times New Roman" w:hint="eastAsia"/>
          <w:sz w:val="32"/>
          <w:szCs w:val="32"/>
        </w:rPr>
        <w:t>、</w:t>
      </w:r>
      <w:r w:rsidR="002B54A9" w:rsidRPr="00260325">
        <w:rPr>
          <w:rFonts w:ascii="仿宋" w:eastAsia="仿宋" w:hAnsi="仿宋" w:cs="Times New Roman" w:hint="eastAsia"/>
          <w:sz w:val="32"/>
          <w:szCs w:val="32"/>
        </w:rPr>
        <w:t>债务人</w:t>
      </w:r>
      <w:r w:rsidRPr="00260325">
        <w:rPr>
          <w:rFonts w:ascii="仿宋" w:eastAsia="仿宋" w:hAnsi="仿宋" w:cs="Times New Roman" w:hint="eastAsia"/>
          <w:sz w:val="32"/>
          <w:szCs w:val="32"/>
        </w:rPr>
        <w:t>代表双方通过协商一致或通过抽签、</w:t>
      </w:r>
      <w:r w:rsidR="007E7AF0" w:rsidRPr="00260325">
        <w:rPr>
          <w:rFonts w:ascii="仿宋" w:eastAsia="仿宋" w:hAnsi="仿宋" w:cs="Times New Roman" w:hint="eastAsia"/>
          <w:sz w:val="32"/>
          <w:szCs w:val="32"/>
        </w:rPr>
        <w:t>摇号等随机方式</w:t>
      </w:r>
      <w:r w:rsidRPr="00260325">
        <w:rPr>
          <w:rFonts w:ascii="仿宋" w:eastAsia="仿宋" w:hAnsi="仿宋" w:cs="Times New Roman" w:hint="eastAsia"/>
          <w:sz w:val="32"/>
          <w:szCs w:val="32"/>
        </w:rPr>
        <w:t>在</w:t>
      </w:r>
      <w:r w:rsidR="000C456A" w:rsidRPr="00260325">
        <w:rPr>
          <w:rFonts w:ascii="仿宋" w:eastAsia="仿宋" w:hAnsi="仿宋" w:cs="Times New Roman" w:hint="eastAsia"/>
          <w:sz w:val="32"/>
          <w:szCs w:val="32"/>
        </w:rPr>
        <w:t>上述两家入选对象中</w:t>
      </w:r>
      <w:r w:rsidR="007E7AF0" w:rsidRPr="00260325">
        <w:rPr>
          <w:rFonts w:ascii="仿宋" w:eastAsia="仿宋" w:hAnsi="仿宋" w:cs="Times New Roman" w:hint="eastAsia"/>
          <w:sz w:val="32"/>
          <w:szCs w:val="32"/>
        </w:rPr>
        <w:t>确定</w:t>
      </w:r>
      <w:r w:rsidR="000C456A" w:rsidRPr="00260325">
        <w:rPr>
          <w:rFonts w:ascii="仿宋" w:eastAsia="仿宋" w:hAnsi="仿宋" w:cs="Times New Roman" w:hint="eastAsia"/>
          <w:sz w:val="32"/>
          <w:szCs w:val="32"/>
        </w:rPr>
        <w:t>一家为</w:t>
      </w:r>
      <w:r w:rsidR="00FC1C33" w:rsidRPr="00260325">
        <w:rPr>
          <w:rFonts w:ascii="仿宋" w:eastAsia="仿宋" w:hAnsi="仿宋" w:cs="Times New Roman" w:hint="eastAsia"/>
          <w:sz w:val="32"/>
          <w:szCs w:val="32"/>
        </w:rPr>
        <w:t>管理人；</w:t>
      </w:r>
    </w:p>
    <w:p w:rsidR="00055BAE" w:rsidRPr="00260325" w:rsidRDefault="000C456A" w:rsidP="00B57DFA">
      <w:pPr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5</w:t>
      </w:r>
      <w:r w:rsidR="00613160" w:rsidRPr="00260325">
        <w:rPr>
          <w:rFonts w:ascii="仿宋" w:eastAsia="仿宋" w:hAnsi="仿宋" w:cs="Times New Roman" w:hint="eastAsia"/>
          <w:sz w:val="32"/>
          <w:szCs w:val="32"/>
        </w:rPr>
        <w:t>、</w:t>
      </w:r>
      <w:r w:rsidRPr="00260325">
        <w:rPr>
          <w:rFonts w:ascii="仿宋" w:eastAsia="仿宋" w:hAnsi="仿宋" w:cs="Times New Roman" w:hint="eastAsia"/>
          <w:sz w:val="32"/>
          <w:szCs w:val="32"/>
        </w:rPr>
        <w:t>没有被确定为管理人的另一家入选对象作为该案管理人的</w:t>
      </w:r>
      <w:r w:rsidR="00FC1C33" w:rsidRPr="00260325">
        <w:rPr>
          <w:rFonts w:ascii="仿宋" w:eastAsia="仿宋" w:hAnsi="仿宋" w:cs="Times New Roman" w:hint="eastAsia"/>
          <w:sz w:val="32"/>
          <w:szCs w:val="32"/>
        </w:rPr>
        <w:t>备选机构，作为需要更换管理人时的接替人选；</w:t>
      </w:r>
    </w:p>
    <w:p w:rsidR="000C456A" w:rsidRPr="00260325" w:rsidRDefault="000C456A" w:rsidP="00B57DFA">
      <w:pPr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6、如出现</w:t>
      </w:r>
      <w:r w:rsidR="00CE7E66" w:rsidRPr="00260325">
        <w:rPr>
          <w:rFonts w:ascii="仿宋" w:eastAsia="仿宋" w:hAnsi="仿宋" w:cs="Times New Roman" w:hint="eastAsia"/>
          <w:sz w:val="32"/>
          <w:szCs w:val="32"/>
        </w:rPr>
        <w:t>拟接替的备选机构不能担任管理人，按本次分数由高到低排序轮候接替。</w:t>
      </w:r>
    </w:p>
    <w:p w:rsidR="004836A5" w:rsidRPr="00260325" w:rsidRDefault="00055BAE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五、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t>附则</w:t>
      </w:r>
    </w:p>
    <w:p w:rsidR="004836A5" w:rsidRPr="00260325" w:rsidRDefault="004836A5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1、本评审办法用于</w:t>
      </w:r>
      <w:r w:rsidR="00212236" w:rsidRPr="00260325">
        <w:rPr>
          <w:rFonts w:ascii="仿宋" w:eastAsia="仿宋" w:hAnsi="仿宋" w:cs="Times New Roman" w:hint="eastAsia"/>
          <w:sz w:val="32"/>
          <w:szCs w:val="32"/>
        </w:rPr>
        <w:t>破产案件</w:t>
      </w:r>
      <w:r w:rsidRPr="00260325">
        <w:rPr>
          <w:rFonts w:ascii="仿宋" w:eastAsia="仿宋" w:hAnsi="仿宋" w:cs="Times New Roman" w:hint="eastAsia"/>
          <w:sz w:val="32"/>
          <w:szCs w:val="32"/>
        </w:rPr>
        <w:t>选任管理人时使用；</w:t>
      </w:r>
    </w:p>
    <w:p w:rsidR="00C136F3" w:rsidRPr="00260325" w:rsidRDefault="00C136F3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t>2、本院监察室对选任破产管理人全过程进行监督；</w:t>
      </w:r>
    </w:p>
    <w:p w:rsidR="004836A5" w:rsidRPr="00260325" w:rsidRDefault="00C136F3" w:rsidP="00B57DFA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60325">
        <w:rPr>
          <w:rFonts w:ascii="仿宋" w:eastAsia="仿宋" w:hAnsi="仿宋" w:cs="Times New Roman" w:hint="eastAsia"/>
          <w:sz w:val="32"/>
          <w:szCs w:val="32"/>
        </w:rPr>
        <w:lastRenderedPageBreak/>
        <w:t>3、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t>如在评审过</w:t>
      </w:r>
      <w:r w:rsidRPr="00260325">
        <w:rPr>
          <w:rFonts w:ascii="仿宋" w:eastAsia="仿宋" w:hAnsi="仿宋" w:cs="Times New Roman" w:hint="eastAsia"/>
          <w:sz w:val="32"/>
          <w:szCs w:val="32"/>
        </w:rPr>
        <w:t>程中评审委员会对评审标准有争议的或其他未尽事宜，由吉水县人民法院</w:t>
      </w:r>
      <w:r w:rsidR="004836A5" w:rsidRPr="00260325">
        <w:rPr>
          <w:rFonts w:ascii="仿宋" w:eastAsia="仿宋" w:hAnsi="仿宋" w:cs="Times New Roman" w:hint="eastAsia"/>
          <w:sz w:val="32"/>
          <w:szCs w:val="32"/>
        </w:rPr>
        <w:t>负责解释。</w:t>
      </w: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1EBE" w:rsidRDefault="00D51EBE" w:rsidP="004D50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9089E" w:rsidRDefault="00F9089E" w:rsidP="00F9089E">
      <w:pPr>
        <w:rPr>
          <w:rFonts w:ascii="仿宋" w:eastAsia="仿宋" w:hAnsi="仿宋"/>
          <w:sz w:val="32"/>
          <w:szCs w:val="32"/>
        </w:rPr>
        <w:sectPr w:rsidR="00F908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1EBE" w:rsidRDefault="00F9089E" w:rsidP="00F908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F9089E" w:rsidRPr="00F9089E" w:rsidRDefault="00F9089E" w:rsidP="00F9089E">
      <w:pPr>
        <w:ind w:firstLineChars="445" w:firstLine="1966"/>
        <w:rPr>
          <w:rFonts w:asciiTheme="majorEastAsia" w:eastAsiaTheme="majorEastAsia" w:hAnsiTheme="majorEastAsia"/>
          <w:b/>
          <w:sz w:val="44"/>
          <w:szCs w:val="44"/>
        </w:rPr>
      </w:pPr>
      <w:r w:rsidRPr="00F9089E">
        <w:rPr>
          <w:rFonts w:asciiTheme="majorEastAsia" w:eastAsiaTheme="majorEastAsia" w:hAnsiTheme="majorEastAsia" w:hint="eastAsia"/>
          <w:b/>
          <w:sz w:val="44"/>
          <w:szCs w:val="44"/>
        </w:rPr>
        <w:t>江西省吉水县人民法院破产管理人选任评分表</w:t>
      </w:r>
    </w:p>
    <w:p w:rsidR="00F9089E" w:rsidRDefault="00F9089E" w:rsidP="00F9089E">
      <w:pPr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（序号以申报人提交材料时间先后排列）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45"/>
        <w:gridCol w:w="1772"/>
        <w:gridCol w:w="1772"/>
        <w:gridCol w:w="1772"/>
        <w:gridCol w:w="1772"/>
        <w:gridCol w:w="1772"/>
      </w:tblGrid>
      <w:tr w:rsidR="00F9089E" w:rsidTr="00F9089E">
        <w:tc>
          <w:tcPr>
            <w:tcW w:w="1384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申报管理人名称</w:t>
            </w:r>
          </w:p>
        </w:tc>
        <w:tc>
          <w:tcPr>
            <w:tcW w:w="194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机构规模</w:t>
            </w:r>
          </w:p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（20分）</w:t>
            </w: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工作方案</w:t>
            </w:r>
          </w:p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（30分）</w:t>
            </w: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报酬方案</w:t>
            </w:r>
          </w:p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610E89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分）</w:t>
            </w: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经验业绩</w:t>
            </w:r>
          </w:p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610E89"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分）</w:t>
            </w: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总分</w:t>
            </w:r>
          </w:p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（100分）</w:t>
            </w: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F9089E" w:rsidTr="00F9089E">
        <w:trPr>
          <w:trHeight w:val="690"/>
        </w:trPr>
        <w:tc>
          <w:tcPr>
            <w:tcW w:w="1384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089E" w:rsidTr="00F9089E">
        <w:trPr>
          <w:trHeight w:val="558"/>
        </w:trPr>
        <w:tc>
          <w:tcPr>
            <w:tcW w:w="1384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089E" w:rsidTr="00F9089E">
        <w:trPr>
          <w:trHeight w:val="553"/>
        </w:trPr>
        <w:tc>
          <w:tcPr>
            <w:tcW w:w="1384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089E" w:rsidTr="00F9089E">
        <w:trPr>
          <w:trHeight w:val="561"/>
        </w:trPr>
        <w:tc>
          <w:tcPr>
            <w:tcW w:w="1384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089E" w:rsidTr="00F9089E">
        <w:trPr>
          <w:trHeight w:val="641"/>
        </w:trPr>
        <w:tc>
          <w:tcPr>
            <w:tcW w:w="1384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089E" w:rsidTr="00F9089E">
        <w:trPr>
          <w:trHeight w:val="552"/>
        </w:trPr>
        <w:tc>
          <w:tcPr>
            <w:tcW w:w="1384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F9089E" w:rsidRDefault="00F9089E" w:rsidP="00F908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9089E" w:rsidRPr="00D51EBE" w:rsidRDefault="00F9089E" w:rsidP="00C7630F">
      <w:pPr>
        <w:rPr>
          <w:rFonts w:ascii="仿宋" w:eastAsia="仿宋" w:hAnsi="仿宋"/>
          <w:sz w:val="32"/>
          <w:szCs w:val="32"/>
        </w:rPr>
      </w:pPr>
    </w:p>
    <w:sectPr w:rsidR="00F9089E" w:rsidRPr="00D51EBE" w:rsidSect="00F90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AD" w:rsidRDefault="00C32CAD" w:rsidP="00C23FAE">
      <w:r>
        <w:separator/>
      </w:r>
    </w:p>
  </w:endnote>
  <w:endnote w:type="continuationSeparator" w:id="0">
    <w:p w:rsidR="00C32CAD" w:rsidRDefault="00C32CAD" w:rsidP="00C2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AD" w:rsidRDefault="00C32CAD" w:rsidP="00C23FAE">
      <w:r>
        <w:separator/>
      </w:r>
    </w:p>
  </w:footnote>
  <w:footnote w:type="continuationSeparator" w:id="0">
    <w:p w:rsidR="00C32CAD" w:rsidRDefault="00C32CAD" w:rsidP="00C2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9"/>
    <w:rsid w:val="00055BAE"/>
    <w:rsid w:val="000C1428"/>
    <w:rsid w:val="000C456A"/>
    <w:rsid w:val="001A0789"/>
    <w:rsid w:val="001B1E76"/>
    <w:rsid w:val="001F2403"/>
    <w:rsid w:val="002051C9"/>
    <w:rsid w:val="00212236"/>
    <w:rsid w:val="00260325"/>
    <w:rsid w:val="00264DD8"/>
    <w:rsid w:val="002B54A9"/>
    <w:rsid w:val="00320C73"/>
    <w:rsid w:val="003F3F76"/>
    <w:rsid w:val="00410B5E"/>
    <w:rsid w:val="004836A5"/>
    <w:rsid w:val="00494799"/>
    <w:rsid w:val="004D5024"/>
    <w:rsid w:val="00610E89"/>
    <w:rsid w:val="00613160"/>
    <w:rsid w:val="00743006"/>
    <w:rsid w:val="00760734"/>
    <w:rsid w:val="007A0EAF"/>
    <w:rsid w:val="007E7AF0"/>
    <w:rsid w:val="0094470B"/>
    <w:rsid w:val="009A2F41"/>
    <w:rsid w:val="009C564A"/>
    <w:rsid w:val="00A1217E"/>
    <w:rsid w:val="00B57DFA"/>
    <w:rsid w:val="00B94BDF"/>
    <w:rsid w:val="00B964D3"/>
    <w:rsid w:val="00BF43EF"/>
    <w:rsid w:val="00C07F57"/>
    <w:rsid w:val="00C136F3"/>
    <w:rsid w:val="00C23FAE"/>
    <w:rsid w:val="00C32CAD"/>
    <w:rsid w:val="00C7630F"/>
    <w:rsid w:val="00CE7E66"/>
    <w:rsid w:val="00D51EBE"/>
    <w:rsid w:val="00D80BA2"/>
    <w:rsid w:val="00E41900"/>
    <w:rsid w:val="00E4330F"/>
    <w:rsid w:val="00F02A14"/>
    <w:rsid w:val="00F46474"/>
    <w:rsid w:val="00F52975"/>
    <w:rsid w:val="00F53C00"/>
    <w:rsid w:val="00F8701A"/>
    <w:rsid w:val="00F9089E"/>
    <w:rsid w:val="00FA03F0"/>
    <w:rsid w:val="00FA378C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F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F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F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张长根</cp:lastModifiedBy>
  <cp:revision>6</cp:revision>
  <dcterms:created xsi:type="dcterms:W3CDTF">2023-05-18T00:35:00Z</dcterms:created>
  <dcterms:modified xsi:type="dcterms:W3CDTF">2023-07-21T02:59:00Z</dcterms:modified>
</cp:coreProperties>
</file>